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3400425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HX-1800智能型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67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woN2n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HX-1800智能型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3195955" cy="3195955"/>
            <wp:effectExtent l="0" t="0" r="0" b="0"/>
            <wp:docPr id="2" name="图片 2" descr="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8.25pt;height:0.3pt;width:415.15pt;z-index:-251638784;mso-width-relative:page;mso-height-relative:page;" filled="f" stroked="t" coordsize="21600,21600" o:gfxdata="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YOKv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18-1800连续可调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Φ3、6、8、10、15、20、22、25、28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323850" cy="108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61950" cy="1066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33375" cy="10763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85750" cy="110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353060" cy="1067435"/>
            <wp:effectExtent l="0" t="0" r="8890" b="184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46710" cy="1080135"/>
            <wp:effectExtent l="0" t="0" r="15240" b="57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18465" cy="1133475"/>
            <wp:effectExtent l="0" t="0" r="63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91160" cy="1196975"/>
            <wp:effectExtent l="0" t="0" r="889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14350" cy="1227455"/>
            <wp:effectExtent l="0" t="0" r="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⑪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100-1000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⑭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  <w:bookmarkStart w:id="0" w:name="_GoBack"/>
    <w:bookmarkEnd w:id="0"/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F258F4"/>
    <w:rsid w:val="04E918A9"/>
    <w:rsid w:val="0692734F"/>
    <w:rsid w:val="07553E41"/>
    <w:rsid w:val="091F1204"/>
    <w:rsid w:val="09F1045C"/>
    <w:rsid w:val="0A184A29"/>
    <w:rsid w:val="0A366F57"/>
    <w:rsid w:val="0A965B96"/>
    <w:rsid w:val="10C02CE0"/>
    <w:rsid w:val="10E60B82"/>
    <w:rsid w:val="11385EB2"/>
    <w:rsid w:val="117D1E52"/>
    <w:rsid w:val="1203084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3B2133"/>
    <w:rsid w:val="1A4C7833"/>
    <w:rsid w:val="1A5C3EB1"/>
    <w:rsid w:val="1AB80B3F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AC77E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D4E77F2"/>
    <w:rsid w:val="4E1721DC"/>
    <w:rsid w:val="4E931B10"/>
    <w:rsid w:val="4F24617C"/>
    <w:rsid w:val="4FD73045"/>
    <w:rsid w:val="51C771E3"/>
    <w:rsid w:val="51F9487C"/>
    <w:rsid w:val="52D024EF"/>
    <w:rsid w:val="52EE746C"/>
    <w:rsid w:val="5452446D"/>
    <w:rsid w:val="54BB33AD"/>
    <w:rsid w:val="563C7D3B"/>
    <w:rsid w:val="567A4548"/>
    <w:rsid w:val="576F688D"/>
    <w:rsid w:val="57866507"/>
    <w:rsid w:val="5826783E"/>
    <w:rsid w:val="58926505"/>
    <w:rsid w:val="58C6092D"/>
    <w:rsid w:val="58F34817"/>
    <w:rsid w:val="591C6583"/>
    <w:rsid w:val="594D1214"/>
    <w:rsid w:val="594F5727"/>
    <w:rsid w:val="59AB3574"/>
    <w:rsid w:val="5BDA755D"/>
    <w:rsid w:val="5DDC6E97"/>
    <w:rsid w:val="5E9E3B08"/>
    <w:rsid w:val="607225C9"/>
    <w:rsid w:val="608B6872"/>
    <w:rsid w:val="60FB69CF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E353C5"/>
    <w:rsid w:val="778F13F1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2021-06-28T08:52:27Z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