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w:drawing>
          <wp:anchor distT="0" distB="0" distL="114300" distR="114300" simplePos="0" relativeHeight="251680768" behindDoc="0" locked="0" layoutInCell="1" allowOverlap="1">
            <wp:simplePos x="0" y="0"/>
            <wp:positionH relativeFrom="column">
              <wp:posOffset>704850</wp:posOffset>
            </wp:positionH>
            <wp:positionV relativeFrom="paragraph">
              <wp:posOffset>134620</wp:posOffset>
            </wp:positionV>
            <wp:extent cx="3986530" cy="3986530"/>
            <wp:effectExtent l="0" t="0" r="0" b="0"/>
            <wp:wrapTopAndBottom/>
            <wp:docPr id="2" name="图片 2" descr="HLX-2009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2009低温冷却循环泵"/>
                    <pic:cNvPicPr>
                      <a:picLocks noChangeAspect="1"/>
                    </pic:cNvPicPr>
                  </pic:nvPicPr>
                  <pic:blipFill>
                    <a:blip r:embed="rId6"/>
                    <a:stretch>
                      <a:fillRect/>
                    </a:stretch>
                  </pic:blipFill>
                  <pic:spPr>
                    <a:xfrm>
                      <a:off x="0" y="0"/>
                      <a:ext cx="3986530" cy="398653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1628775</wp:posOffset>
                </wp:positionH>
                <wp:positionV relativeFrom="paragraph">
                  <wp:posOffset>4389755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345.65pt;height:40.4pt;width:144pt;mso-wrap-style:none;z-index:251679744;mso-width-relative:page;mso-height-relative:page;" filled="f" stroked="f" coordsize="21600,21600" o:gfxdata="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lqM&#10;Tt4AAAALAQAADwAAAAAAAAABACAAAAAiAAAAZHJzL2Rvd25yZXYueG1sUEsBAhQAFAAAAAgAh07i&#10;QAlxUaYcAgAAFgQAAA4AAAAAAAAAAQAgAAAALQEAAGRycy9lMm9Eb2MueG1sUEsFBgAAAAAGAAYA&#10;WQEAALs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HLX-2009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1031003001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-20~RT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1200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流量L/min(最大/额定)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28/15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43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300*500*620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380*580*800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bookmarkStart w:id="0" w:name="_GoBack"/>
      <w:bookmarkEnd w:id="0"/>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center"/>
      <w:textAlignment w:val="auto"/>
      <w:outlineLvl w:val="9"/>
      <w:rPr>
        <w:rFonts w:hint="eastAsia"/>
        <w:b/>
        <w:bCs/>
        <w:color w:val="203864" w:themeColor="accent1" w:themeShade="80"/>
        <w:sz w:val="32"/>
        <w:szCs w:val="32"/>
        <w:u w:val="none"/>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none" w:color="auto" w:sz="0" w:space="0"/>
      </w:pBd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982149"/>
    <w:rsid w:val="3A045A6B"/>
    <w:rsid w:val="3A542ACC"/>
    <w:rsid w:val="3ABF1760"/>
    <w:rsid w:val="3C5E63A4"/>
    <w:rsid w:val="3DA6127B"/>
    <w:rsid w:val="3DEB6E30"/>
    <w:rsid w:val="3E2B5E06"/>
    <w:rsid w:val="40764144"/>
    <w:rsid w:val="410B44C7"/>
    <w:rsid w:val="43EA5F2F"/>
    <w:rsid w:val="442711AA"/>
    <w:rsid w:val="444D634D"/>
    <w:rsid w:val="479B1026"/>
    <w:rsid w:val="498B526A"/>
    <w:rsid w:val="4A527F2C"/>
    <w:rsid w:val="4AA4627F"/>
    <w:rsid w:val="4ADC76DB"/>
    <w:rsid w:val="4CA81950"/>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6C7FFA"/>
    <w:rsid w:val="64BB3B0A"/>
    <w:rsid w:val="65173864"/>
    <w:rsid w:val="65DE68BC"/>
    <w:rsid w:val="67074C35"/>
    <w:rsid w:val="67B86FD5"/>
    <w:rsid w:val="68CC736B"/>
    <w:rsid w:val="69A05A18"/>
    <w:rsid w:val="6AA8406E"/>
    <w:rsid w:val="6AB4227F"/>
    <w:rsid w:val="6B3B6611"/>
    <w:rsid w:val="6B5251F4"/>
    <w:rsid w:val="6B6C7258"/>
    <w:rsid w:val="6BA7011A"/>
    <w:rsid w:val="6CE71896"/>
    <w:rsid w:val="6DFB560B"/>
    <w:rsid w:val="6F17421F"/>
    <w:rsid w:val="6F7B3153"/>
    <w:rsid w:val="6F975B11"/>
    <w:rsid w:val="700B1E79"/>
    <w:rsid w:val="71E561F0"/>
    <w:rsid w:val="73587C07"/>
    <w:rsid w:val="737F1A45"/>
    <w:rsid w:val="73974732"/>
    <w:rsid w:val="73D53F4B"/>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2021-08-11T06:54:33Z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