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0" distR="0">
            <wp:extent cx="2414270" cy="3619500"/>
            <wp:effectExtent l="0" t="0" r="5080" b="0"/>
            <wp:docPr id="2" name="图片 1" descr="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7067" cy="362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311785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HXLG-20FD普通型电加热冻干机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24.5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yPvQVtkAAAAK&#10;AQAADwAAAGRycy9kb3ducmV2LnhtbE2PwU7DMBBE70j8g7VI3KjjBigNcXqoRC+IAwXR6yZ2kyjx&#10;OordNPD1LCd6nJ3R7Jt8M7teTHYMrScNapGAsFR501Kt4fPj5e4JRIhIBntPVsO3DbAprq9yzIw/&#10;07ud9rEWXEIhQw1NjEMmZaga6zAs/GCJvaMfHUaWYy3NiGcud71cJsmjdNgSf2hwsNvGVt3+5DS8&#10;4dcuTnNX7brhaA5uKLfpz6vWtzcqeQYR7Rz/w/CHz+hQMFPpT2SC6DUsU8Vboob7tQLBgQe15kOp&#10;IU1XCmSRy8sJxS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70Fb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HXLG-20FD普通型电加热冻干机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34688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2640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3366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spacing w:after="60"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7寸真彩液晶触摸屏，重要参数（冷阱温度/样品温度/真空度/隔板温度等）直观可视；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2、手动/自动操作随意切换，一键自动冻干，操作简便；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3、压缩机、真空泵电路单独开关控制，防止误操作引发压缩机频繁启停；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4、冻干数据自动保存，实时查看，历史复现，冻干过程清晰可控；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5、可储存冻干配方，每组可编辑36段，随时调用，可自定义重命名，做到直接识别区分；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6、具备断电自动保存冻干数据功能，能够支持U盘数据导出查看；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7、采用进口压缩机，制冷迅速，制冷效率更高，可靠性更好；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8、选用无氟制冷剂，能够满足环保要求；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9、放置物料的隔板采用304不锈钢制成，并且采用硅油进行加热及制冷，加热均匀性好，隔板间温差较小，避免因快速升温导致物料坍塌情况出现；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HXLG</w:t>
            </w:r>
            <w:r>
              <w:rPr>
                <w:color w:val="2F5597" w:themeColor="accent1" w:themeShade="BF"/>
                <w:kern w:val="2"/>
              </w:rPr>
              <w:t>-</w:t>
            </w:r>
            <w:r>
              <w:rPr>
                <w:rFonts w:hint="eastAsia"/>
                <w:color w:val="2F5597" w:themeColor="accent1" w:themeShade="BF"/>
                <w:kern w:val="2"/>
              </w:rPr>
              <w:t>20FD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普通型</w:t>
            </w:r>
            <w:r>
              <w:rPr>
                <w:rFonts w:hint="eastAsia"/>
                <w:color w:val="2F5597" w:themeColor="accent1" w:themeShade="BF"/>
                <w:kern w:val="2"/>
              </w:rPr>
              <w:t>电加热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冻干面积(m</w:t>
            </w:r>
            <w:r>
              <w:rPr>
                <w:color w:val="2F5597" w:themeColor="accent1" w:themeShade="BF"/>
                <w:kern w:val="2"/>
                <w:vertAlign w:val="superscript"/>
              </w:rPr>
              <w:t>2</w:t>
            </w:r>
            <w:r>
              <w:rPr>
                <w:color w:val="2F5597" w:themeColor="accent1" w:themeShade="BF"/>
                <w:kern w:val="2"/>
              </w:rPr>
              <w:t>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0.</w:t>
            </w:r>
            <w:r>
              <w:rPr>
                <w:rFonts w:hint="eastAsia"/>
                <w:color w:val="2F5597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西林瓶</w:t>
            </w:r>
          </w:p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1300支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810支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430支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</w:t>
            </w:r>
          </w:p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4</w:t>
            </w:r>
            <w:r>
              <w:rPr>
                <w:rFonts w:hint="eastAsia"/>
                <w:color w:val="2F5597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-</w:t>
            </w:r>
            <w:r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  <w:t>55</w:t>
            </w:r>
            <w:r>
              <w:rPr>
                <w:color w:val="2F5597" w:themeColor="accent1" w:themeShade="BF"/>
                <w:kern w:val="2"/>
              </w:rPr>
              <w:t>~</w:t>
            </w:r>
            <w:r>
              <w:rPr>
                <w:rFonts w:hint="eastAsia"/>
                <w:color w:val="2F5597" w:themeColor="accent1" w:themeShade="BF"/>
                <w:kern w:val="2"/>
              </w:rPr>
              <w:t>60</w:t>
            </w:r>
            <w:r>
              <w:rPr>
                <w:color w:val="2F5597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≤-</w:t>
            </w:r>
            <w:r>
              <w:rPr>
                <w:rFonts w:hint="eastAsia"/>
                <w:color w:val="2F5597" w:themeColor="accent1" w:themeShade="BF"/>
                <w:kern w:val="2"/>
              </w:rPr>
              <w:t>70</w:t>
            </w:r>
            <w:r>
              <w:rPr>
                <w:color w:val="2F5597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bookmarkStart w:id="0" w:name="_GoBack"/>
            <w:bookmarkEnd w:id="0"/>
            <w:r>
              <w:rPr>
                <w:color w:val="2F5597" w:themeColor="accent1" w:themeShade="BF"/>
                <w:kern w:val="2"/>
              </w:rPr>
              <w:t>≤</w:t>
            </w:r>
            <w:r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color w:val="2F5597" w:themeColor="accent1" w:themeShade="BF"/>
                <w:kern w:val="2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594*718*1400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rFonts w:hint="eastAsia"/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4L/S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整机重量(kg)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200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tabs>
          <w:tab w:val="left" w:pos="7161"/>
        </w:tabs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17842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56CB2"/>
    <w:rsid w:val="006620A3"/>
    <w:rsid w:val="0069114D"/>
    <w:rsid w:val="00741072"/>
    <w:rsid w:val="00753DFC"/>
    <w:rsid w:val="007650E0"/>
    <w:rsid w:val="007A51F4"/>
    <w:rsid w:val="00810E9E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45D4A"/>
    <w:rsid w:val="00DA0404"/>
    <w:rsid w:val="00DA6A09"/>
    <w:rsid w:val="00DE44BB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82812"/>
    <w:rsid w:val="00FB47FE"/>
    <w:rsid w:val="00FE197F"/>
    <w:rsid w:val="017212D3"/>
    <w:rsid w:val="02AA71DB"/>
    <w:rsid w:val="02D933F4"/>
    <w:rsid w:val="02F87F3E"/>
    <w:rsid w:val="03F258F4"/>
    <w:rsid w:val="04E918A9"/>
    <w:rsid w:val="056C5F57"/>
    <w:rsid w:val="0692734F"/>
    <w:rsid w:val="07553E41"/>
    <w:rsid w:val="07793946"/>
    <w:rsid w:val="079D4AF8"/>
    <w:rsid w:val="091F1204"/>
    <w:rsid w:val="0A184A29"/>
    <w:rsid w:val="0A366F57"/>
    <w:rsid w:val="0A965B96"/>
    <w:rsid w:val="0C72339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13573D"/>
    <w:rsid w:val="2BE36FED"/>
    <w:rsid w:val="2C2B4AD0"/>
    <w:rsid w:val="2C936415"/>
    <w:rsid w:val="2CBC35B2"/>
    <w:rsid w:val="2D270418"/>
    <w:rsid w:val="2D9E504D"/>
    <w:rsid w:val="2DBB4423"/>
    <w:rsid w:val="2E5E5B1C"/>
    <w:rsid w:val="303E2E96"/>
    <w:rsid w:val="30667F5E"/>
    <w:rsid w:val="32494755"/>
    <w:rsid w:val="32BC511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7E878D6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C7C3B-989B-4CA4-B766-DA1AB9543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651</Characters>
  <Lines>5</Lines>
  <Paragraphs>1</Paragraphs>
  <ScaleCrop>false</ScaleCrop>
  <LinksUpToDate>false</LinksUpToDate>
  <CharactersWithSpaces>764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2021-01-07T03:38:00Z</dcterms:created>
  <dc:creator>孙长娟</dc:creator>
  <cp:lastModifiedBy>张慧慧</cp:lastModifiedBy>
  <dcterms:modified xsi:type="dcterms:W3CDTF">2022-03-04T05:56:06Z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