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rFonts w:hint="eastAsia" w:eastAsia="宋体"/>
          <w:b/>
          <w:bCs/>
          <w:sz w:val="30"/>
          <w:lang w:eastAsia="zh-CN"/>
        </w:rPr>
      </w:pPr>
      <w:r>
        <w:rPr>
          <w:rFonts w:hint="eastAsia" w:eastAsia="宋体"/>
          <w:b/>
          <w:bCs/>
          <w:sz w:val="30"/>
          <w:lang w:eastAsia="zh-CN"/>
        </w:rPr>
        <w:drawing>
          <wp:anchor distT="0" distB="0" distL="114300" distR="114300" simplePos="0" relativeHeight="251680768" behindDoc="0" locked="0" layoutInCell="1" allowOverlap="1">
            <wp:simplePos x="0" y="0"/>
            <wp:positionH relativeFrom="column">
              <wp:posOffset>1009650</wp:posOffset>
            </wp:positionH>
            <wp:positionV relativeFrom="paragraph">
              <wp:posOffset>41275</wp:posOffset>
            </wp:positionV>
            <wp:extent cx="3071495" cy="3071495"/>
            <wp:effectExtent l="0" t="0" r="14605" b="14605"/>
            <wp:wrapTopAndBottom/>
            <wp:docPr id="2" name="图片 2" descr="JY92-I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Y92-IIN"/>
                    <pic:cNvPicPr>
                      <a:picLocks noChangeAspect="1"/>
                    </pic:cNvPicPr>
                  </pic:nvPicPr>
                  <pic:blipFill>
                    <a:blip r:embed="rId6"/>
                    <a:stretch>
                      <a:fillRect/>
                    </a:stretch>
                  </pic:blipFill>
                  <pic:spPr>
                    <a:xfrm>
                      <a:off x="0" y="0"/>
                      <a:ext cx="3071495" cy="3071495"/>
                    </a:xfrm>
                    <a:prstGeom prst="rect">
                      <a:avLst/>
                    </a:prstGeom>
                  </pic:spPr>
                </pic:pic>
              </a:graphicData>
            </a:graphic>
          </wp:anchor>
        </w:drawing>
      </w:r>
      <w:r>
        <w:rPr>
          <w:sz w:val="30"/>
        </w:rPr>
        <mc:AlternateContent>
          <mc:Choice Requires="wps">
            <w:drawing>
              <wp:anchor distT="0" distB="0" distL="114300" distR="114300" simplePos="0" relativeHeight="251679744" behindDoc="0" locked="0" layoutInCell="1" allowOverlap="1">
                <wp:simplePos x="0" y="0"/>
                <wp:positionH relativeFrom="column">
                  <wp:posOffset>1552575</wp:posOffset>
                </wp:positionH>
                <wp:positionV relativeFrom="paragraph">
                  <wp:posOffset>3009900</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JY92-IIN超声波细胞粉碎机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2.25pt;margin-top:237pt;height:144pt;width:144pt;mso-wrap-distance-bottom:0pt;mso-wrap-distance-top:0pt;mso-wrap-style:none;z-index:251679744;mso-width-relative:page;mso-height-relative:page;" filled="f" stroked="f" coordsize="21600,21600" o:gfxdata="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wVmn2gAAAAsB&#10;AAAPAAAAAAAAAAEAIAAAACIAAABkcnMvZG93bnJldi54bWxQSwECFAAUAAAACACHTuJALYHEdBkC&#10;AAAXBAAADgAAAAAAAAABACAAAAApAQAAZHJzL2Uyb0RvYy54bWxQSwUGAAAAAAYABgBZAQAAtAUA&#10;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JY92-IIN超声波细胞粉碎机</w:t>
                      </w:r>
                    </w:p>
                  </w:txbxContent>
                </v:textbox>
                <w10:wrap type="topAndBottom"/>
              </v:shape>
            </w:pict>
          </mc:Fallback>
        </mc:AlternateConten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3878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l7K7HVAAAABwEAAA8AAAAAAAAAAQAgAAAAIgAA&#10;AGRycy9kb3ducmV2LnhtbFBLAQIUABQAAAAIAIdO4kA3IArY0gEAAGcDAAAOAAAAAAAAAAEAIAAA&#10;ACQBAABkcnMvZTJvRG9jLnhtbFBLBQYAAAAABgAGAFkBAABo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adjustRightInd w:val="0"/>
        <w:spacing w:line="360" w:lineRule="auto"/>
        <w:ind w:firstLine="480" w:firstLineChars="200"/>
        <w:rPr>
          <w:rFonts w:ascii="宋体" w:hAnsi="宋体"/>
          <w:color w:val="2F5597" w:themeColor="accent1" w:themeShade="BF"/>
          <w:sz w:val="24"/>
          <w:szCs w:val="24"/>
        </w:rPr>
      </w:pPr>
      <w:r>
        <w:rPr>
          <w:rFonts w:hint="eastAsia" w:ascii="宋体" w:hAnsi="宋体"/>
          <w:color w:val="2F5597" w:themeColor="accent1" w:themeShade="BF"/>
          <w:sz w:val="24"/>
          <w:szCs w:val="24"/>
        </w:rPr>
        <w:t>超声波细胞粉碎机（破碎仪或超声波裂解器）是一种利用强超声在液体中产生空化效应，对物质进行超声处理的多功能、多用途的仪器，能用于多种动植物细胞、病毒细胞的破碎，同时可用来乳化、分离、提取、消泡、脱气、清洗及加速化学反应等等。被应用于生物化学、微生物学、药物化学、表面化学、物理学、动物学、农学、制药等领域的教学、科研及生产。</w:t>
      </w: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功能全，外观美，性能可靠，采用最新单片机技术+4.3寸TFT电容触摸屏控制（可以选配7寸），可选配电脑通讯或数据打印等功能</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智能化程度高，中央微机集中控制，超声时间，功率可从1%-100%设定</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样品温度检测显示、频率微机自动跟踪、故障自动报警</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带有过载保护功能及变幅杆未浸入液体中会自动保护变幅杆不受损坏</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可实现故障、超温或操作失误等引起的语音报警功能，更加的人性化</w:t>
      </w:r>
    </w:p>
    <w:p>
      <w:pPr>
        <w:widowControl/>
        <w:shd w:val="clear" w:color="auto" w:fill="FFFFFF"/>
        <w:spacing w:line="360" w:lineRule="auto"/>
        <w:jc w:val="left"/>
        <w:rPr>
          <w:rFonts w:ascii="宋体" w:hAnsi="宋体" w:cs="宋体"/>
          <w:color w:val="2F5597" w:themeColor="accent1" w:themeShade="BF"/>
          <w:sz w:val="24"/>
          <w:szCs w:val="24"/>
        </w:rPr>
      </w:pP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5"/>
        <w:tblpPr w:leftFromText="180" w:rightFromText="180" w:vertAnchor="text" w:horzAnchor="page" w:tblpXSpec="center" w:tblpY="68"/>
        <w:tblOverlap w:val="never"/>
        <w:tblW w:w="8522" w:type="dxa"/>
        <w:jc w:val="center"/>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036"/>
        <w:gridCol w:w="448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shd w:val="clear" w:color="auto" w:fill="FFFFFF" w:themeFill="background1"/>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型号</w:t>
            </w:r>
          </w:p>
        </w:tc>
        <w:tc>
          <w:tcPr>
            <w:tcW w:w="4486" w:type="dxa"/>
            <w:tcBorders>
              <w:tl2br w:val="nil"/>
              <w:tr2bl w:val="nil"/>
            </w:tcBorders>
            <w:shd w:val="clear" w:color="auto" w:fill="FFFFFF" w:themeFill="background1"/>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JY92-IIN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shd w:val="clear" w:color="auto" w:fill="FFFFFF" w:themeFill="background1"/>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功率</w:t>
            </w:r>
          </w:p>
        </w:tc>
        <w:tc>
          <w:tcPr>
            <w:tcW w:w="4486" w:type="dxa"/>
            <w:tcBorders>
              <w:tl2br w:val="nil"/>
              <w:tr2bl w:val="nil"/>
            </w:tcBorders>
            <w:shd w:val="clear" w:color="auto" w:fill="FFFFFF" w:themeFill="background1"/>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10-650W连续可调</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shd w:val="clear" w:color="auto" w:fill="FFFFFF" w:themeFill="background1"/>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破碎容量</w:t>
            </w:r>
          </w:p>
        </w:tc>
        <w:tc>
          <w:tcPr>
            <w:tcW w:w="4486" w:type="dxa"/>
            <w:tcBorders>
              <w:tl2br w:val="nil"/>
              <w:tr2bl w:val="nil"/>
            </w:tcBorders>
            <w:shd w:val="clear" w:color="auto" w:fill="FFFFFF" w:themeFill="background1"/>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0.1-600ML(需选配相应的变幅杆)</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shd w:val="clear" w:color="auto" w:fill="FFFFFF" w:themeFill="background1"/>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显示方式</w:t>
            </w:r>
          </w:p>
        </w:tc>
        <w:tc>
          <w:tcPr>
            <w:tcW w:w="4486" w:type="dxa"/>
            <w:tcBorders>
              <w:tl2br w:val="nil"/>
              <w:tr2bl w:val="nil"/>
            </w:tcBorders>
            <w:shd w:val="clear" w:color="auto" w:fill="FFFFFF" w:themeFill="background1"/>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4.3寸真彩电容触摸屏显示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单次超声时间</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单次间隙时间</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总时间（超声+间隙）</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频率范围</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20-25KHz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温控范围</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0-100度（可选配低温恒温）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报警功能</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时间、过载、空载、超温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随机变幅杆</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Φ6(mm)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可选配变幅杆</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Φ2、3、6、8、10、12(mm)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数据储存</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20组</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电源（可选配110V)</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220V/110V/ 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仪器尺寸（深*宽*高）</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410*225*290（mm）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控制方式</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单片机+TFT触控</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可选配功能</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电脑通讯+数据打印+隔音箱照明或灭菌</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语音报警和提示功能</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有</w:t>
            </w:r>
          </w:p>
        </w:tc>
      </w:tr>
    </w:tbl>
    <w:p>
      <w:pPr>
        <w:adjustRightInd w:val="0"/>
        <w:spacing w:line="360" w:lineRule="auto"/>
        <w:ind w:firstLine="480" w:firstLineChars="200"/>
        <w:jc w:val="center"/>
        <w:rPr>
          <w:rFonts w:ascii="宋体" w:hAnsi="宋体"/>
          <w:color w:val="2F5597" w:themeColor="accent1" w:themeShade="BF"/>
          <w:sz w:val="24"/>
          <w:szCs w:val="24"/>
        </w:rPr>
      </w:pP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可选配变幅杆</w:t>
      </w:r>
    </w:p>
    <w:p>
      <w:pPr>
        <w:pStyle w:val="10"/>
        <w:spacing w:before="0" w:beforeAutospacing="0" w:after="0" w:afterAutospacing="0" w:line="360" w:lineRule="auto"/>
        <w:ind w:firstLine="1200" w:firstLineChars="5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371475" cy="10953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371475" cy="1095375"/>
                    </a:xfrm>
                    <a:prstGeom prst="rect">
                      <a:avLst/>
                    </a:prstGeom>
                  </pic:spPr>
                </pic:pic>
              </a:graphicData>
            </a:graphic>
          </wp:inline>
        </w:drawing>
      </w:r>
      <w:r>
        <w:rPr>
          <w:rFonts w:hint="eastAsia"/>
        </w:rPr>
        <w:t xml:space="preserve">   </w:t>
      </w:r>
      <w:r>
        <w:drawing>
          <wp:inline distT="0" distB="0" distL="0" distR="0">
            <wp:extent cx="323850" cy="10858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323850" cy="1085850"/>
                    </a:xfrm>
                    <a:prstGeom prst="rect">
                      <a:avLst/>
                    </a:prstGeom>
                  </pic:spPr>
                </pic:pic>
              </a:graphicData>
            </a:graphic>
          </wp:inline>
        </w:drawing>
      </w:r>
      <w:r>
        <w:rPr>
          <w:rFonts w:hint="eastAsia"/>
        </w:rPr>
        <w:t xml:space="preserve">   </w:t>
      </w:r>
      <w:r>
        <w:drawing>
          <wp:inline distT="0" distB="0" distL="0" distR="0">
            <wp:extent cx="361950" cy="1066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361950" cy="1066800"/>
                    </a:xfrm>
                    <a:prstGeom prst="rect">
                      <a:avLst/>
                    </a:prstGeom>
                  </pic:spPr>
                </pic:pic>
              </a:graphicData>
            </a:graphic>
          </wp:inline>
        </w:drawing>
      </w:r>
      <w:r>
        <w:rPr>
          <w:rFonts w:hint="eastAsia"/>
        </w:rPr>
        <w:t xml:space="preserve">   </w:t>
      </w:r>
      <w:r>
        <w:drawing>
          <wp:inline distT="0" distB="0" distL="0" distR="0">
            <wp:extent cx="333375" cy="10763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333375" cy="1076325"/>
                    </a:xfrm>
                    <a:prstGeom prst="rect">
                      <a:avLst/>
                    </a:prstGeom>
                  </pic:spPr>
                </pic:pic>
              </a:graphicData>
            </a:graphic>
          </wp:inline>
        </w:drawing>
      </w:r>
      <w:r>
        <w:rPr>
          <w:rFonts w:hint="eastAsia"/>
        </w:rPr>
        <w:t xml:space="preserve">   </w:t>
      </w:r>
      <w:r>
        <w:drawing>
          <wp:inline distT="0" distB="0" distL="0" distR="0">
            <wp:extent cx="285750" cy="11049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1"/>
                    <a:stretch>
                      <a:fillRect/>
                    </a:stretch>
                  </pic:blipFill>
                  <pic:spPr>
                    <a:xfrm>
                      <a:off x="0" y="0"/>
                      <a:ext cx="285750" cy="1104900"/>
                    </a:xfrm>
                    <a:prstGeom prst="rect">
                      <a:avLst/>
                    </a:prstGeom>
                  </pic:spPr>
                </pic:pic>
              </a:graphicData>
            </a:graphic>
          </wp:inline>
        </w:drawing>
      </w:r>
      <w:r>
        <w:rPr>
          <w:rFonts w:hint="eastAsia"/>
        </w:rPr>
        <w:t xml:space="preserve">    </w:t>
      </w:r>
      <w:r>
        <w:drawing>
          <wp:inline distT="0" distB="0" distL="0" distR="0">
            <wp:extent cx="257175" cy="105727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2"/>
                    <a:stretch>
                      <a:fillRect/>
                    </a:stretch>
                  </pic:blipFill>
                  <pic:spPr>
                    <a:xfrm>
                      <a:off x="0" y="0"/>
                      <a:ext cx="257175" cy="1057275"/>
                    </a:xfrm>
                    <a:prstGeom prst="rect">
                      <a:avLst/>
                    </a:prstGeom>
                  </pic:spPr>
                </pic:pic>
              </a:graphicData>
            </a:graphic>
          </wp:inline>
        </w:drawing>
      </w:r>
      <w:r>
        <w:rPr>
          <w:rFonts w:hint="eastAsia"/>
        </w:rPr>
        <w:t xml:space="preserve">                 </w:t>
      </w:r>
    </w:p>
    <w:tbl>
      <w:tblPr>
        <w:tblStyle w:val="15"/>
        <w:tblW w:w="8181" w:type="dxa"/>
        <w:jc w:val="center"/>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①</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2</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0.2-5</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②</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3</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3-10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1-45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④</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6</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10-100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1-70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⑤</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8</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20-200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1-85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⑥</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10</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30-300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⑧</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12</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50-600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10-90</w:t>
            </w:r>
          </w:p>
        </w:tc>
      </w:tr>
    </w:tbl>
    <w:p>
      <w:pPr>
        <w:adjustRightInd w:val="0"/>
        <w:spacing w:line="360" w:lineRule="auto"/>
        <w:ind w:firstLine="480" w:firstLineChars="200"/>
        <w:jc w:val="center"/>
        <w:rPr>
          <w:rFonts w:ascii="宋体" w:hAnsi="宋体"/>
          <w:color w:val="2F5597" w:themeColor="accent1" w:themeShade="BF"/>
          <w:sz w:val="24"/>
          <w:szCs w:val="24"/>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5"/>
        <w:tblW w:w="7596" w:type="dxa"/>
        <w:jc w:val="center"/>
        <w:tblInd w:w="-3034"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019"/>
        <w:gridCol w:w="257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名称</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超声波发生器</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振动系统（换能器组件+6MM）</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隔音箱（另外包装）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升降台（在隔音箱内）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电源线</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备用保险丝（电源线袋内）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使用说明书</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保修卡(含合格证)</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温度探头（电源线袋内）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bl>
    <w:p>
      <w:pPr>
        <w:pStyle w:val="10"/>
        <w:shd w:val="clear" w:color="auto" w:fill="FFFFFF"/>
        <w:spacing w:before="0" w:beforeAutospacing="0" w:after="0" w:afterAutospacing="0" w:line="645" w:lineRule="atLeast"/>
        <w:rPr>
          <w:rFonts w:ascii="黑体" w:hAnsi="黑体" w:eastAsia="黑体"/>
          <w:sz w:val="18"/>
        </w:rPr>
      </w:pPr>
    </w:p>
    <w:p>
      <w:pPr>
        <w:adjustRightInd w:val="0"/>
        <w:spacing w:line="360" w:lineRule="auto"/>
        <w:rPr>
          <w:rFonts w:ascii="宋体" w:hAnsi="宋体"/>
          <w:color w:val="2F5597" w:themeColor="accent1" w:themeShade="BF"/>
          <w:sz w:val="24"/>
          <w:szCs w:val="24"/>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r>
      <w:rPr>
        <w:rFonts w:hint="eastAsia"/>
        <w:b/>
        <w:sz w:val="44"/>
        <w:szCs w:val="44"/>
      </w:rPr>
      <w:drawing>
        <wp:anchor distT="0" distB="0" distL="114300" distR="114300" simplePos="0" relativeHeight="251658240" behindDoc="0" locked="0" layoutInCell="1" allowOverlap="1">
          <wp:simplePos x="0" y="0"/>
          <wp:positionH relativeFrom="margin">
            <wp:posOffset>533400</wp:posOffset>
          </wp:positionH>
          <wp:positionV relativeFrom="paragraph">
            <wp:posOffset>-111125</wp:posOffset>
          </wp:positionV>
          <wp:extent cx="933450" cy="838200"/>
          <wp:effectExtent l="0" t="0" r="0" b="0"/>
          <wp:wrapThrough wrapText="bothSides">
            <wp:wrapPolygon>
              <wp:start x="0" y="0"/>
              <wp:lineTo x="0" y="21109"/>
              <wp:lineTo x="21159" y="21109"/>
              <wp:lineTo x="21159"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3450"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248D88"/>
    <w:multiLevelType w:val="singleLevel"/>
    <w:tmpl w:val="D0248D88"/>
    <w:lvl w:ilvl="0" w:tentative="0">
      <w:start w:val="1"/>
      <w:numFmt w:val="decimal"/>
      <w:lvlText w:val="%1."/>
      <w:lvlJc w:val="left"/>
      <w:pPr>
        <w:ind w:left="425" w:hanging="425"/>
      </w:pPr>
      <w:rPr>
        <w:rFonts w:hint="default"/>
      </w:rPr>
    </w:lvl>
  </w:abstractNum>
  <w:abstractNum w:abstractNumId="1">
    <w:nsid w:val="009A6B36"/>
    <w:multiLevelType w:val="singleLevel"/>
    <w:tmpl w:val="009A6B36"/>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848A8"/>
    <w:rsid w:val="003D498D"/>
    <w:rsid w:val="004A2EE0"/>
    <w:rsid w:val="004E7E09"/>
    <w:rsid w:val="00535C95"/>
    <w:rsid w:val="00580C1D"/>
    <w:rsid w:val="00596893"/>
    <w:rsid w:val="005A5BBC"/>
    <w:rsid w:val="00676647"/>
    <w:rsid w:val="0069114D"/>
    <w:rsid w:val="00741072"/>
    <w:rsid w:val="007650E0"/>
    <w:rsid w:val="007A51F4"/>
    <w:rsid w:val="0084773D"/>
    <w:rsid w:val="00854961"/>
    <w:rsid w:val="008B2ECB"/>
    <w:rsid w:val="00955DE4"/>
    <w:rsid w:val="0098299C"/>
    <w:rsid w:val="00990FAD"/>
    <w:rsid w:val="009E7CF6"/>
    <w:rsid w:val="00A4672B"/>
    <w:rsid w:val="00A94E0D"/>
    <w:rsid w:val="00AA4A1B"/>
    <w:rsid w:val="00AA5CBF"/>
    <w:rsid w:val="00B61697"/>
    <w:rsid w:val="00B839ED"/>
    <w:rsid w:val="00BD42F1"/>
    <w:rsid w:val="00BD4735"/>
    <w:rsid w:val="00C47428"/>
    <w:rsid w:val="00C83139"/>
    <w:rsid w:val="00CC3B3D"/>
    <w:rsid w:val="00DA0404"/>
    <w:rsid w:val="00DA6A09"/>
    <w:rsid w:val="00E15CAB"/>
    <w:rsid w:val="00E2271A"/>
    <w:rsid w:val="00E54BE6"/>
    <w:rsid w:val="00E610B3"/>
    <w:rsid w:val="00E62DD8"/>
    <w:rsid w:val="00E900EE"/>
    <w:rsid w:val="00EC783E"/>
    <w:rsid w:val="00EF22FA"/>
    <w:rsid w:val="00EF585C"/>
    <w:rsid w:val="00F71C4A"/>
    <w:rsid w:val="00FE197F"/>
    <w:rsid w:val="017212D3"/>
    <w:rsid w:val="02AA71DB"/>
    <w:rsid w:val="02D933F4"/>
    <w:rsid w:val="02F87F3E"/>
    <w:rsid w:val="03F258F4"/>
    <w:rsid w:val="04E918A9"/>
    <w:rsid w:val="0692734F"/>
    <w:rsid w:val="07553E41"/>
    <w:rsid w:val="091F1204"/>
    <w:rsid w:val="0A184A29"/>
    <w:rsid w:val="0A366F57"/>
    <w:rsid w:val="0A965B96"/>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EDB61FD"/>
    <w:rsid w:val="1F153D1A"/>
    <w:rsid w:val="1F995798"/>
    <w:rsid w:val="2159429D"/>
    <w:rsid w:val="216A23E2"/>
    <w:rsid w:val="22E601DB"/>
    <w:rsid w:val="23243285"/>
    <w:rsid w:val="241D3C4F"/>
    <w:rsid w:val="246A0583"/>
    <w:rsid w:val="24951E5C"/>
    <w:rsid w:val="24AE6CFC"/>
    <w:rsid w:val="295A600F"/>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A951B9"/>
    <w:rsid w:val="36E10A24"/>
    <w:rsid w:val="38553F3D"/>
    <w:rsid w:val="3A045A6B"/>
    <w:rsid w:val="3A542ACC"/>
    <w:rsid w:val="3ABF1760"/>
    <w:rsid w:val="3C5E63A4"/>
    <w:rsid w:val="3DA6127B"/>
    <w:rsid w:val="3DEB6E30"/>
    <w:rsid w:val="3E2B5E06"/>
    <w:rsid w:val="40764144"/>
    <w:rsid w:val="410B44C7"/>
    <w:rsid w:val="43EA5F2F"/>
    <w:rsid w:val="442711AA"/>
    <w:rsid w:val="498B526A"/>
    <w:rsid w:val="4A527F2C"/>
    <w:rsid w:val="4AA4627F"/>
    <w:rsid w:val="4ADC76DB"/>
    <w:rsid w:val="4CA81950"/>
    <w:rsid w:val="4D4E77F2"/>
    <w:rsid w:val="4E931B10"/>
    <w:rsid w:val="4FD73045"/>
    <w:rsid w:val="51C771E3"/>
    <w:rsid w:val="51F9487C"/>
    <w:rsid w:val="52EE746C"/>
    <w:rsid w:val="5452446D"/>
    <w:rsid w:val="563C7D3B"/>
    <w:rsid w:val="567A4548"/>
    <w:rsid w:val="576F688D"/>
    <w:rsid w:val="5826783E"/>
    <w:rsid w:val="58926505"/>
    <w:rsid w:val="58C6092D"/>
    <w:rsid w:val="58F34817"/>
    <w:rsid w:val="591C6583"/>
    <w:rsid w:val="594D1214"/>
    <w:rsid w:val="59AB3574"/>
    <w:rsid w:val="5BDA755D"/>
    <w:rsid w:val="5C373C36"/>
    <w:rsid w:val="5DDC6E97"/>
    <w:rsid w:val="607225C9"/>
    <w:rsid w:val="608B6872"/>
    <w:rsid w:val="61FA2450"/>
    <w:rsid w:val="624F31B6"/>
    <w:rsid w:val="626F460D"/>
    <w:rsid w:val="62737F03"/>
    <w:rsid w:val="62BD7680"/>
    <w:rsid w:val="63B80222"/>
    <w:rsid w:val="64BB3B0A"/>
    <w:rsid w:val="65173864"/>
    <w:rsid w:val="67074C35"/>
    <w:rsid w:val="67B86FD5"/>
    <w:rsid w:val="68CC736B"/>
    <w:rsid w:val="69A05A18"/>
    <w:rsid w:val="6AB4227F"/>
    <w:rsid w:val="6B3B6611"/>
    <w:rsid w:val="6B5251F4"/>
    <w:rsid w:val="6B6C7258"/>
    <w:rsid w:val="6BA7011A"/>
    <w:rsid w:val="6C1657D8"/>
    <w:rsid w:val="6DFB560B"/>
    <w:rsid w:val="6F17421F"/>
    <w:rsid w:val="6F7B3153"/>
    <w:rsid w:val="6F975B11"/>
    <w:rsid w:val="71E561F0"/>
    <w:rsid w:val="73587C07"/>
    <w:rsid w:val="737F1A45"/>
    <w:rsid w:val="73950411"/>
    <w:rsid w:val="73974732"/>
    <w:rsid w:val="74A64C8E"/>
    <w:rsid w:val="75EA64FF"/>
    <w:rsid w:val="76E353C5"/>
    <w:rsid w:val="77C15694"/>
    <w:rsid w:val="78323E75"/>
    <w:rsid w:val="78F84331"/>
    <w:rsid w:val="79FB6B36"/>
    <w:rsid w:val="7A61311F"/>
    <w:rsid w:val="7A664B08"/>
    <w:rsid w:val="7AA2317C"/>
    <w:rsid w:val="7B965710"/>
    <w:rsid w:val="7CAD3559"/>
    <w:rsid w:val="7CC94246"/>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A944D-B0A0-4953-8DF3-13534B6F9F45}">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174</Words>
  <Characters>998</Characters>
  <Lines>8</Lines>
  <Paragraphs>2</Paragraphs>
  <TotalTime>0</TotalTime>
  <ScaleCrop>false</ScaleCrop>
  <LinksUpToDate>false</LinksUpToDate>
  <CharactersWithSpaces>1170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林园</cp:lastModifiedBy>
  <dcterms:modified xsi:type="dcterms:W3CDTF">2022-03-25T08:12:40Z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