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33655</wp:posOffset>
                </wp:positionH>
                <wp:positionV relativeFrom="paragraph">
                  <wp:posOffset>873125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5pt;margin-top:68.75pt;height:0.3pt;width:415.15pt;z-index:-251638784;mso-width-relative:page;mso-height-relative:page;" filled="f" stroked="t" coordsize="21600,21600" o:gfxdata="UEsDBAoAAAAAAIdO4kAAAAAAAAAAAAAAAAAEAAAAZHJzL1BLAwQUAAAACACHTuJAuCM73NcAAAAJ&#10;AQAADwAAAGRycy9kb3ducmV2LnhtbE2PzU7DMBCE70i8g7WVuFEnRGmjNE4lkJCAGykSHLfxNo4a&#10;22ns/r092xMcd2Y0+021vthBnGgKvXcK0nkCglzrde86BV+b18cCRIjoNA7ekYIrBVjX93cVltqf&#10;3SedmtgJLnGhRAUmxrGUMrSGLIa5H8mxt/OTxcjn1Ek94ZnL7SCfkmQhLfaOPxgc6cVQu2+OVsHP&#10;vvv2uDHL/tA87z7er9i+0UGph1marEBEusS/MNzwGR1qZtr6o9NBDAryjIMsZ8scBPtFli9AbG9K&#10;kYKsK/l/Qf0LUEsDBBQAAAAIAIdO4kA3IArY0gEAAGcDAAAOAAAAZHJzL2Uyb0RvYy54bWytU0uO&#10;EzEQ3SNxB8t70p2QMEkrnVkkGjYIIgEHqLjd3Zb8k8ukk0twASR2sGLJntvMcAzKTiYzwA6RRcWu&#10;zyu/V9XL64PRbC8DKmdrPh6VnEkrXKNsV/P3726ezTnDCLYB7ays+VEiv149fbIcfCUnrne6kYER&#10;iMVq8DXvY/RVUaDopQEcOS8tBVsXDES6hq5oAgyEbnQxKcsXxeBC44MTEpG8m1OQrzJ+20oR37Qt&#10;ysh0zeltMduQ7S7ZYrWEqgvgeyXOz4B/eIUBZanpBWoDEdiHoP6CMkoEh66NI+FM4dpWCZk5EJtx&#10;+Qebtz14mbmQOOgvMuH/gxWv99vAVFPzBWcWDI3o7tP3249ffv74TPbu21e2SCINHivKXdttON/Q&#10;b0NifGiDSf/EhR2ysMeLsPIQmSDnbHI1mZYzzgTFns/HWffiodYHjC+lMywdaq6VTbShgv0rjNSP&#10;Uu9Tktu6G6V1Hp22bKC9W5Qzmq4A2qBWQ6Sj8cQJbccZ6I5WU8SQIdFp1aTyBISh2611YHug9ZhO&#10;rybraSJL7X5LS703gP0pL4dOi2NUpO3VytR8XqbfuVpbAkmSnURKp51rjlm77Kdp5jbnzUvr8vie&#10;qx++j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CM73NcAAAAJAQAADwAAAAAAAAABACAAAAAi&#10;AAAAZHJzL2Rvd25yZXYueG1sUEsBAhQAFAAAAAgAh07iQDcgCtjSAQAAZwMAAA4AAAAAAAAAAQAg&#10;AAAAJgEAAGRycy9lMm9Eb2MueG1sUEsFBgAAAAAGAAYAWQEAAGoFAAAAAA==&#10;">
                <v:fill on="f" focussize="0,0"/>
                <v:stroke weight="1.5pt" color="#4472C4 [3204]" miterlimit="8" joinstyle="miter"/>
                <v:imagedata o:title=""/>
                <o:lock v:ext="edit" aspectratio="f"/>
              </v:line>
            </w:pict>
          </mc:Fallback>
        </mc:AlternateContent>
      </w:r>
      <w:bookmarkStart w:id="0" w:name="_GoBack"/>
      <w:bookmarkEnd w:id="0"/>
      <w:r>
        <w:rPr>
          <w:sz w:val="30"/>
        </w:rPr>
        <mc:AlternateContent>
          <mc:Choice Requires="wps">
            <w:drawing>
              <wp:anchor distT="0" distB="0" distL="114300" distR="114300" simplePos="0" relativeHeight="251679744" behindDoc="0" locked="0" layoutInCell="1" allowOverlap="1">
                <wp:simplePos x="0" y="0"/>
                <wp:positionH relativeFrom="column">
                  <wp:posOffset>1743075</wp:posOffset>
                </wp:positionH>
                <wp:positionV relativeFrom="paragraph">
                  <wp:posOffset>3050540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HX-IID超声波细胞粉碎机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7.25pt;margin-top:240.2pt;height:144pt;width:144pt;mso-wrap-distance-bottom:0pt;mso-wrap-distance-top:0pt;mso-wrap-style:none;z-index:251679744;mso-width-relative:page;mso-height-relative:page;" filled="f" stroked="f" coordsize="21600,21600" o:gfxdata="UEsDBAoAAAAAAIdO4kAAAAAAAAAAAAAAAAAEAAAAZHJzL1BLAwQUAAAACACHTuJAKv7jjNoAAAAL&#10;AQAADwAAAGRycy9kb3ducmV2LnhtbE2PPU/DMBCGdyT+g3VIbNRuSNMoxOlQiS6IgRbBeondJEr8&#10;odhNA7+eY4Lx7h6997zlbjEjm/UUemclrFcCmLaNU71tJbyfnh9yYCGiVTg6qyV86QC76vamxEK5&#10;q33T8zG2jEJsKFBCF6MvOA9Npw2GlfPa0u3sJoORxqnlasIrhZuRJ0Jk3GBv6UOHXu873QzHi5Hw&#10;ih+HOC9Dcxj8WX0aX+8fv1+kvL9biydgUS/xD4ZffVKHipxqd7EqsFFCsk03hEpIc5ECI2KTJbSp&#10;JWyzPAVelfx/h+oHUEsDBBQAAAAIAIdO4kAtgcR0GQIAABcEAAAOAAAAZHJzL2Uyb0RvYy54bWyt&#10;U8uO0zAU3SPxD5b3NGnpDKVqOiozKkIaMSMVxNp1nCaSX7LdJuUD4A9YsWHPd/U7OHbaTgWsEBvn&#10;Xp+b+zj3eHbTKUl2wvnG6IIOBzklQnNTNnpT0I8fli8mlPjAdMmk0aKge+Hpzfz5s1lrp2JkaiNL&#10;4QiSaD9tbUHrEOw0yzyvhWJ+YKzQACvjFAtw3SYrHWuRXclslOfXWWtcaZ3hwnvc3vUgnaf8VSV4&#10;eKgqLwKRBUVvIZ0unet4ZvMZm24cs3XDj22wf+hCsUaj6DnVHQuMbF3zRyrVcGe8qcKAG5WZqmq4&#10;SDNgmmH+2zSrmlmRZgE53p5p8v8vLX+/e3SkKQs6pkQzhRUdvn09fP95+PGFjCM9rfVTRK0s4kL3&#10;xnRY8+ne4zJO3VVOxS/mIcBB9P5MrugC4fGnyWgyyQFxYCcH+bOn363z4a0wikSjoA7bS6Sy3b0P&#10;fegpJFbTZtlImTYoNWkLev3yKk8/nBEklxo14hB9s9EK3bo7TrY25R6DOdMrw1u+bFD8nvnwyByk&#10;gIYh7/CAo5IGRczRoqQ27vPf7mM8NgSUkhbSKqiG9imR7zQ293o4HkclJmd89WoEx10i60tEb9Wt&#10;gXaHeEaWJzPGB3kyK2fUJ7yBRawJiGmOygUNJ/M29HLHG+JisUhB0J5l4V6vLI+pI5neLrYBhCae&#10;I0k9M0fuoL60qeNLifK+9FPU03u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uOM2gAAAAsB&#10;AAAPAAAAAAAAAAEAIAAAACIAAABkcnMvZG93bnJldi54bWxQSwECFAAUAAAACACHTuJALYHEdBkC&#10;AAAXBAAADgAAAAAAAAABACAAAAApAQAAZHJzL2Uyb0RvYy54bWxQSwUGAAAAAAYABgBZAQAAtAUA&#10;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HX-IID超声波细胞粉碎机</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anchor distT="0" distB="0" distL="114300" distR="114300" simplePos="0" relativeHeight="251680768" behindDoc="0" locked="0" layoutInCell="1" allowOverlap="1">
            <wp:simplePos x="0" y="0"/>
            <wp:positionH relativeFrom="column">
              <wp:posOffset>1358900</wp:posOffset>
            </wp:positionH>
            <wp:positionV relativeFrom="paragraph">
              <wp:posOffset>47625</wp:posOffset>
            </wp:positionV>
            <wp:extent cx="2919095" cy="2919095"/>
            <wp:effectExtent l="0" t="0" r="1905" b="1905"/>
            <wp:wrapTopAndBottom/>
            <wp:docPr id="2" name="图片 2"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主图"/>
                    <pic:cNvPicPr>
                      <a:picLocks noChangeAspect="1"/>
                    </pic:cNvPicPr>
                  </pic:nvPicPr>
                  <pic:blipFill>
                    <a:blip r:embed="rId6"/>
                    <a:stretch>
                      <a:fillRect/>
                    </a:stretch>
                  </pic:blipFill>
                  <pic:spPr>
                    <a:xfrm>
                      <a:off x="0" y="0"/>
                      <a:ext cx="2919095" cy="2919095"/>
                    </a:xfrm>
                    <a:prstGeom prst="rect">
                      <a:avLst/>
                    </a:prstGeom>
                  </pic:spPr>
                </pic:pic>
              </a:graphicData>
            </a:graphic>
          </wp:anchor>
        </w:drawing>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widowControl/>
        <w:shd w:val="clear" w:color="auto" w:fill="FFFFFF"/>
        <w:spacing w:line="360" w:lineRule="auto"/>
        <w:ind w:firstLine="480" w:firstLineChars="200"/>
        <w:jc w:val="left"/>
        <w:rPr>
          <w:rFonts w:ascii="宋体" w:hAnsi="宋体" w:cs="宋体"/>
          <w:color w:val="2F5597" w:themeColor="accent1" w:themeShade="BF"/>
          <w:sz w:val="24"/>
          <w:szCs w:val="24"/>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5"/>
        <w:tblW w:w="859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33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型号</w:t>
            </w:r>
          </w:p>
        </w:tc>
        <w:tc>
          <w:tcPr>
            <w:tcW w:w="4335"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HX-IID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功率</w:t>
            </w:r>
          </w:p>
        </w:tc>
        <w:tc>
          <w:tcPr>
            <w:tcW w:w="4335"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10-1000W连续可调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破碎容量</w:t>
            </w:r>
          </w:p>
        </w:tc>
        <w:tc>
          <w:tcPr>
            <w:tcW w:w="4335"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0.1-750ML(需选配相应的变幅杆)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显示方式</w:t>
            </w:r>
          </w:p>
        </w:tc>
        <w:tc>
          <w:tcPr>
            <w:tcW w:w="4335"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真彩电容触摸屏显示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单次超声时间</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单次间隙时间</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总时间（超声+间隙）</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频率范围</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温控范围</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报警功能</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69"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可选配变幅杆</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Φ2、3、6、8、10、12、15（mm）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随机变幅杆</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Φ6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数据储存</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20组</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电源（可选配110V)</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仪器尺寸（深*宽*高）</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410*225*290（mm）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控制方式</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79"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可选配功能</w:t>
            </w:r>
          </w:p>
        </w:tc>
        <w:tc>
          <w:tcPr>
            <w:tcW w:w="4335" w:type="dxa"/>
            <w:tcBorders>
              <w:tl2br w:val="nil"/>
              <w:tr2bl w:val="nil"/>
            </w:tcBorders>
            <w:vAlign w:val="center"/>
          </w:tcPr>
          <w:p>
            <w:pPr>
              <w:widowControl/>
              <w:shd w:val="clear" w:color="auto" w:fill="FFFFFF"/>
              <w:spacing w:line="360" w:lineRule="auto"/>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电脑通讯+数据打印+隔音箱照明或灭菌</w:t>
            </w:r>
          </w:p>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语音报警和提示功能</w:t>
            </w:r>
          </w:p>
        </w:tc>
        <w:tc>
          <w:tcPr>
            <w:tcW w:w="4335"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有</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4、可选配变幅杆</w:t>
      </w:r>
    </w:p>
    <w:p>
      <w:pPr>
        <w:pStyle w:val="10"/>
        <w:spacing w:before="0" w:beforeAutospacing="0" w:after="0" w:afterAutospacing="0" w:line="360" w:lineRule="auto"/>
        <w:ind w:firstLine="1200" w:firstLineChars="5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71475" cy="1095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371475" cy="1095375"/>
                    </a:xfrm>
                    <a:prstGeom prst="rect">
                      <a:avLst/>
                    </a:prstGeom>
                  </pic:spPr>
                </pic:pic>
              </a:graphicData>
            </a:graphic>
          </wp:inline>
        </w:drawing>
      </w:r>
      <w:r>
        <w:rPr>
          <w:rFonts w:hint="eastAsia"/>
        </w:rPr>
        <w:t xml:space="preserve">   </w:t>
      </w: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285750" cy="1104900"/>
                    </a:xfrm>
                    <a:prstGeom prst="rect">
                      <a:avLst/>
                    </a:prstGeom>
                  </pic:spPr>
                </pic:pic>
              </a:graphicData>
            </a:graphic>
          </wp:inline>
        </w:drawing>
      </w:r>
      <w:r>
        <w:rPr>
          <w:rFonts w:hint="eastAsia"/>
        </w:rPr>
        <w:t xml:space="preserve">    </w:t>
      </w:r>
      <w:r>
        <w:drawing>
          <wp:inline distT="0" distB="0" distL="0" distR="0">
            <wp:extent cx="257175" cy="10572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257175" cy="1057275"/>
                    </a:xfrm>
                    <a:prstGeom prst="rect">
                      <a:avLst/>
                    </a:prstGeom>
                  </pic:spPr>
                </pic:pic>
              </a:graphicData>
            </a:graphic>
          </wp:inline>
        </w:drawing>
      </w:r>
      <w:r>
        <w:rPr>
          <w:rFonts w:hint="eastAsia"/>
        </w:rPr>
        <w:t xml:space="preserve">    </w:t>
      </w:r>
      <w:r>
        <w:drawing>
          <wp:inline distT="0" distB="0" distL="0" distR="0">
            <wp:extent cx="285750" cy="106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85750" cy="1066800"/>
                    </a:xfrm>
                    <a:prstGeom prst="rect">
                      <a:avLst/>
                    </a:prstGeom>
                  </pic:spPr>
                </pic:pic>
              </a:graphicData>
            </a:graphic>
          </wp:inline>
        </w:drawing>
      </w:r>
      <w:r>
        <w:rPr>
          <w:rFonts w:hint="eastAsia"/>
        </w:rPr>
        <w:t xml:space="preserve">             </w:t>
      </w:r>
    </w:p>
    <w:tbl>
      <w:tblPr>
        <w:tblStyle w:val="15"/>
        <w:tblW w:w="8181"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0.2-5</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②</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④</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⑤</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⑥</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⑧</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50-600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⑨</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15</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200-750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bl>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5"/>
        <w:tblW w:w="7596" w:type="dxa"/>
        <w:jc w:val="center"/>
        <w:tblInd w:w="-3034"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名称</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超声波发生器</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振动系统（换能器组件+6MM）</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隔音箱（另外包装）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升降台（在隔音箱内）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电源线</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备用保险丝（电源线袋内）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使用说明书</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保修卡(含合格证)</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温度探头（电源线袋内）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2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52FBCB"/>
    <w:multiLevelType w:val="singleLevel"/>
    <w:tmpl w:val="D452FBCB"/>
    <w:lvl w:ilvl="0" w:tentative="0">
      <w:start w:val="3"/>
      <w:numFmt w:val="decimal"/>
      <w:suff w:val="nothing"/>
      <w:lvlText w:val="%1、"/>
      <w:lvlJc w:val="left"/>
    </w:lvl>
  </w:abstractNum>
  <w:abstractNum w:abstractNumId="1">
    <w:nsid w:val="F79DD8EE"/>
    <w:multiLevelType w:val="singleLevel"/>
    <w:tmpl w:val="F79DD8EE"/>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62F28"/>
    <w:rsid w:val="002A603E"/>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6F7001"/>
    <w:rsid w:val="00741072"/>
    <w:rsid w:val="007650E0"/>
    <w:rsid w:val="007A51F4"/>
    <w:rsid w:val="00854961"/>
    <w:rsid w:val="008B2ECB"/>
    <w:rsid w:val="00955DE4"/>
    <w:rsid w:val="0098299C"/>
    <w:rsid w:val="00990FAD"/>
    <w:rsid w:val="009A582A"/>
    <w:rsid w:val="009E7CF6"/>
    <w:rsid w:val="00A306C4"/>
    <w:rsid w:val="00A4672B"/>
    <w:rsid w:val="00A94E0D"/>
    <w:rsid w:val="00AA4A1B"/>
    <w:rsid w:val="00AA5CBF"/>
    <w:rsid w:val="00B61697"/>
    <w:rsid w:val="00B839ED"/>
    <w:rsid w:val="00BD42F1"/>
    <w:rsid w:val="00C47428"/>
    <w:rsid w:val="00C83139"/>
    <w:rsid w:val="00D03875"/>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1F1204"/>
    <w:rsid w:val="0A184A29"/>
    <w:rsid w:val="0A366F57"/>
    <w:rsid w:val="0A965B96"/>
    <w:rsid w:val="0AAB6D4D"/>
    <w:rsid w:val="10C02CE0"/>
    <w:rsid w:val="10E60B82"/>
    <w:rsid w:val="11385EB2"/>
    <w:rsid w:val="117D1E52"/>
    <w:rsid w:val="12F323D9"/>
    <w:rsid w:val="13377D20"/>
    <w:rsid w:val="15DC66C9"/>
    <w:rsid w:val="162626F1"/>
    <w:rsid w:val="163338FF"/>
    <w:rsid w:val="167836D1"/>
    <w:rsid w:val="16855545"/>
    <w:rsid w:val="16A71820"/>
    <w:rsid w:val="17E75FC3"/>
    <w:rsid w:val="18711AC3"/>
    <w:rsid w:val="1886336C"/>
    <w:rsid w:val="1976192B"/>
    <w:rsid w:val="199E120D"/>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12C35D0"/>
    <w:rsid w:val="32494755"/>
    <w:rsid w:val="34121BAC"/>
    <w:rsid w:val="348346E6"/>
    <w:rsid w:val="348E7F12"/>
    <w:rsid w:val="355647D6"/>
    <w:rsid w:val="35B92EB0"/>
    <w:rsid w:val="36027874"/>
    <w:rsid w:val="36585CBC"/>
    <w:rsid w:val="36E10A24"/>
    <w:rsid w:val="3A045A6B"/>
    <w:rsid w:val="3A542ACC"/>
    <w:rsid w:val="3ABF1760"/>
    <w:rsid w:val="3AE00D2C"/>
    <w:rsid w:val="3C5E63A4"/>
    <w:rsid w:val="3DA6127B"/>
    <w:rsid w:val="3DEB6E30"/>
    <w:rsid w:val="3E2B5E06"/>
    <w:rsid w:val="40764144"/>
    <w:rsid w:val="410B44C7"/>
    <w:rsid w:val="43EA5F2F"/>
    <w:rsid w:val="442711AA"/>
    <w:rsid w:val="44A24CC7"/>
    <w:rsid w:val="498B526A"/>
    <w:rsid w:val="4A527F2C"/>
    <w:rsid w:val="4AA4627F"/>
    <w:rsid w:val="4ADC76DB"/>
    <w:rsid w:val="4CA81950"/>
    <w:rsid w:val="4D4E77F2"/>
    <w:rsid w:val="4E931B10"/>
    <w:rsid w:val="4F6A59D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DDC6E97"/>
    <w:rsid w:val="600B77B4"/>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949B7-BD28-4A83-B647-F18ED84C76D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Words>
  <Characters>978</Characters>
  <Lines>8</Lines>
  <Paragraphs>2</Paragraphs>
  <TotalTime>0</TotalTime>
  <ScaleCrop>false</ScaleCrop>
  <LinksUpToDate>false</LinksUpToDate>
  <CharactersWithSpaces>1147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2022-04-02T04:09:53Z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