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538730" cy="1681480"/>
            <wp:effectExtent l="0" t="0" r="0" b="0"/>
            <wp:docPr id="2" name="图片 2" descr="HX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XR-2000"/>
                    <pic:cNvPicPr>
                      <a:picLocks noChangeAspect="1"/>
                    </pic:cNvPicPr>
                  </pic:nvPicPr>
                  <pic:blipFill>
                    <a:blip r:embed="rId6"/>
                    <a:stretch>
                      <a:fillRect/>
                    </a:stretch>
                  </pic:blipFill>
                  <pic:spPr>
                    <a:xfrm>
                      <a:off x="0" y="0"/>
                      <a:ext cx="2538730" cy="1681480"/>
                    </a:xfrm>
                    <a:prstGeom prst="rect">
                      <a:avLst/>
                    </a:prstGeom>
                  </pic:spPr>
                </pic:pic>
              </a:graphicData>
            </a:graphic>
          </wp:inline>
        </w:drawing>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1" locked="0" layoutInCell="1" allowOverlap="1">
                <wp:simplePos x="0" y="0"/>
                <wp:positionH relativeFrom="column">
                  <wp:posOffset>1722755</wp:posOffset>
                </wp:positionH>
                <wp:positionV relativeFrom="paragraph">
                  <wp:posOffset>158750</wp:posOffset>
                </wp:positionV>
                <wp:extent cx="1970405" cy="438150"/>
                <wp:effectExtent l="0" t="0" r="0" b="0"/>
                <wp:wrapThrough wrapText="bothSides">
                  <wp:wrapPolygon>
                    <wp:start x="1037" y="2410"/>
                    <wp:lineTo x="20563" y="2410"/>
                    <wp:lineTo x="20563" y="19190"/>
                    <wp:lineTo x="1037" y="19190"/>
                    <wp:lineTo x="1037" y="2410"/>
                  </wp:wrapPolygon>
                </wp:wrapThrough>
                <wp:docPr id="4" name="文本框 4"/>
                <wp:cNvGraphicFramePr/>
                <a:graphic xmlns:a="http://schemas.openxmlformats.org/drawingml/2006/main">
                  <a:graphicData uri="http://schemas.microsoft.com/office/word/2010/wordprocessingShape">
                    <wps:wsp>
                      <wps:cNvSpPr txBox="1"/>
                      <wps:spPr>
                        <a:xfrm>
                          <a:off x="0" y="0"/>
                          <a:ext cx="197040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65pt;margin-top:12.5pt;height:34.5pt;width:155.15pt;mso-wrap-distance-left:9pt;mso-wrap-distance-right:9pt;z-index:-251655168;mso-width-relative:page;mso-height-relative:page;" filled="f" stroked="f" coordsize="21600,21600" wrapcoords="1037 2410 20563 2410 20563 19190 1037 19190 1037 2410" o:gfxdata="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YnqlfaAAAACQEAAA8AAAAAAAAAAQAgAAAAIgAAAGRy&#10;cy9kb3ducmV2LnhtbFBLAQIUABQAAAAIAIdO4kCfrc2UPAIAAGYEAAAOAAAAAAAAAAEAIAAAACkB&#10;AABkcnMvZTJvRG9jLnhtbFBLBQYAAAAABgAGAFkBAADXBQAAAAA=&#10;">
                <v:fill on="f" focussize="0,0"/>
                <v:stroke on="f" weight="0.5pt"/>
                <v:imagedata o:title=""/>
                <o:lock v:ext="edit" aspectratio="f"/>
                <v:textbox>
                  <w:txbxContent>
                    <w:p>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v:textbox>
                <w10:wrap type="through"/>
              </v:shape>
            </w:pict>
          </mc:Fallback>
        </mc:AlternateContent>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619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line="360" w:lineRule="auto"/>
        <w:ind w:firstLine="480" w:firstLineChars="200"/>
        <w:jc w:val="left"/>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高速超声乳化机是结合了超声波振动棒和高速乳化机集成的一种专业应用于分散样品容量大、中试、样品浓度高的处理设备；它的能量输出是介于超声波分散仪和乳化机之上，因此，使用的方向比较灵活，集成的设备可以有效的处理大容量、高浓度、粘稠性高、流动性差的样品。经典应用于石墨烯、氧化硅、碳纳米管、凝胶、树脂等领域。</w:t>
      </w:r>
    </w:p>
    <w:p>
      <w:pPr>
        <w:spacing w:line="360" w:lineRule="auto"/>
        <w:jc w:val="left"/>
        <w:rPr>
          <w:rFonts w:hint="eastAsia" w:ascii="宋体" w:hAnsi="宋体" w:cs="宋体"/>
          <w:color w:val="2F5597" w:themeColor="accent1" w:themeShade="BF"/>
          <w:sz w:val="24"/>
          <w:szCs w:val="24"/>
          <w:lang w:val="en-US" w:eastAsia="zh-CN"/>
        </w:rPr>
      </w:pPr>
    </w:p>
    <w:p>
      <w:pPr>
        <w:adjustRightInd w:val="0"/>
        <w:spacing w:line="360" w:lineRule="auto"/>
        <w:rPr>
          <w:rFonts w:ascii="宋体" w:hAnsi="宋体" w:cs="宋体"/>
          <w:color w:val="2F5597" w:themeColor="accent1" w:themeShade="BF"/>
          <w:sz w:val="24"/>
          <w:szCs w:val="24"/>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超声波控制器采用自主研制电路，超声波发生器装置工作电压220V/AC，超声波电路器具有过压</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过流</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输出短路等保护措施；</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超声波电路具有自动追频，频率自动跟踪在适合输出的谐振点，使换能器始终工作在很好的状态下，换能效率达到最大，在不同工况下都能达到好的效果；</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超声波控制器具有功率调节的功能，输出功率可实现的连续调整，以适应各种样品对象的要求;</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配有显示工作状态，便于观察超声波控制器的工作状况；</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30JX特制高剪切力工作头，满足2L—10L的处理量，适用不同的样品处理要求</w:t>
      </w:r>
      <w:r>
        <w:rPr>
          <w:rFonts w:hint="eastAsia" w:cs="宋体"/>
          <w:color w:val="2F5597" w:themeColor="accent1" w:themeShade="BF"/>
          <w:kern w:val="2"/>
          <w:sz w:val="24"/>
          <w:szCs w:val="24"/>
          <w:lang w:val="en-US" w:eastAsia="zh-CN" w:bidi="ar-SA"/>
        </w:rPr>
        <w:t>；</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整机结构设计紧凑，造型精美，为样品均质提供47m/s的线速度；</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双向支撑杆设计结合双孔位固定夹组成一体化升降调节系统让您的实验，可靠更安全；</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可搭配温度传感器，实时测定样品温度，到达设定值，自动停止运行，更好的保护样品，让实验安全放心。</w:t>
      </w:r>
    </w:p>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pPr w:leftFromText="180" w:rightFromText="180" w:vertAnchor="text" w:horzAnchor="page" w:tblpXSpec="center" w:tblpY="204"/>
        <w:tblOverlap w:val="never"/>
        <w:tblW w:w="8500"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283"/>
        <w:gridCol w:w="521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型号</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1004030001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220V/50-60Hz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超声额定输入功率</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超声输出功率</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定时器</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0-999Min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驱动方式</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压电陶瓷</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显示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触摸屏显示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温度显示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-10~199℃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9"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调节</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功率30~100%可调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33"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工作头材质</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钛合金T1-6AL-4V，变幅比：1:1.5类别：指数型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规格</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直径25-35mm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工作头类型</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指数型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最小浸入深度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150-300mm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乳化显示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液晶屏显示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乳化输入功率</w:t>
            </w:r>
          </w:p>
        </w:tc>
        <w:tc>
          <w:tcPr>
            <w:tcW w:w="5217" w:type="dxa"/>
            <w:tcBorders>
              <w:tl2br w:val="nil"/>
              <w:tr2bl w:val="nil"/>
            </w:tcBorders>
            <w:shd w:val="clear" w:color="auto" w:fill="auto"/>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乳化输出功率</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驱动电机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无刷直流电机，可以连续工作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乳化速度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转速3000-26000rpm可调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7"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乳化工作头材料</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304/316L可选</w:t>
            </w:r>
          </w:p>
          <w:p>
            <w:pPr>
              <w:spacing w:line="360" w:lineRule="auto"/>
              <w:ind w:firstLine="480" w:firstLineChars="200"/>
              <w:jc w:val="center"/>
              <w:rPr>
                <w:rFonts w:hint="eastAsia" w:ascii="宋体" w:hAnsi="宋体" w:cs="宋体"/>
                <w:color w:val="2F5597" w:themeColor="accent1" w:themeShade="BF"/>
                <w:sz w:val="24"/>
                <w:szCs w:val="24"/>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最大剪切速度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47m/s</w:t>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乳化工作头直径</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定子外径30mm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23"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处理样品</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适合糊状、纤维、液体、树脂</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线缆长度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150cm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保险丝规格</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20A</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处理量</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2L-10L</w:t>
            </w:r>
          </w:p>
        </w:tc>
      </w:tr>
    </w:tbl>
    <w:p>
      <w:pPr>
        <w:widowControl/>
        <w:shd w:val="clear" w:color="auto" w:fill="FFFFFF"/>
        <w:jc w:val="both"/>
        <w:textAlignment w:val="center"/>
      </w:pPr>
    </w:p>
    <w:p>
      <w:pPr>
        <w:pStyle w:val="10"/>
        <w:spacing w:before="0" w:beforeAutospacing="0" w:after="0" w:afterAutospacing="0" w:line="360" w:lineRule="auto"/>
        <w:rPr>
          <w:rFonts w:hint="eastAsia" w:eastAsia="宋体" w:cs="Times New Roman"/>
          <w:b/>
          <w:color w:val="2F5597" w:themeColor="accent1" w:themeShade="BF"/>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12"/>
        <w:tblpPr w:leftFromText="180" w:rightFromText="180" w:vertAnchor="text" w:horzAnchor="page" w:tblpXSpec="center" w:tblpY="204"/>
        <w:tblOverlap w:val="never"/>
        <w:tblW w:w="0" w:type="auto"/>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804"/>
        <w:gridCol w:w="6860"/>
        <w:gridCol w:w="85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center"/>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序号</w:t>
            </w:r>
          </w:p>
        </w:tc>
        <w:tc>
          <w:tcPr>
            <w:tcW w:w="6860" w:type="dxa"/>
            <w:tcBorders>
              <w:tl2br w:val="nil"/>
              <w:tr2bl w:val="nil"/>
            </w:tcBorders>
            <w:shd w:val="clear" w:color="auto" w:fill="auto"/>
            <w:vAlign w:val="center"/>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产品名称</w:t>
            </w:r>
          </w:p>
        </w:tc>
        <w:tc>
          <w:tcPr>
            <w:tcW w:w="858"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w:t>
            </w:r>
          </w:p>
        </w:tc>
        <w:tc>
          <w:tcPr>
            <w:tcW w:w="6860"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超声波（主机）</w:t>
            </w:r>
          </w:p>
        </w:tc>
        <w:tc>
          <w:tcPr>
            <w:tcW w:w="858"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07"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w:t>
            </w:r>
          </w:p>
        </w:tc>
        <w:tc>
          <w:tcPr>
            <w:tcW w:w="6860" w:type="dxa"/>
            <w:tcBorders>
              <w:tl2br w:val="nil"/>
              <w:tr2bl w:val="nil"/>
            </w:tcBorders>
            <w:shd w:val="clear" w:color="auto" w:fill="auto"/>
            <w:vAlign w:val="center"/>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振动系统(换能器+变幅杆）：包含φ14*200mm支撑杆*2根&amp;超声波安装套，支撑杆连接超声波安装套</w:t>
            </w:r>
          </w:p>
        </w:tc>
        <w:tc>
          <w:tcPr>
            <w:tcW w:w="858"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w:t>
            </w:r>
          </w:p>
        </w:tc>
        <w:tc>
          <w:tcPr>
            <w:tcW w:w="6860"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超声波连接线</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HR-25D乳化机主机：包含主机支撑杆两根</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6</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30JX刀头</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安装座：加大的底板、尺寸：920*900mm</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78"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8</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不锈钢立杆：长780mm/直径16mm，包含M10 304平垫&amp;M10 304不锈钢螺母各两个</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79"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铝合金16*14*14方夹头：立杆孔φ16mm*延伸孔φ14mm*14 mm；包含手柄</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说明书</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11</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合格证</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1张</w:t>
            </w:r>
          </w:p>
        </w:tc>
      </w:tr>
    </w:tbl>
    <w:p>
      <w:pPr>
        <w:widowControl/>
        <w:shd w:val="clear" w:color="auto" w:fill="FFFFFF"/>
        <w:jc w:val="both"/>
        <w:textAlignment w:val="cente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1073150" cy="1073150"/>
          <wp:effectExtent l="0" t="0" r="12700" b="1270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1073150" cy="1073150"/>
                  </a:xfrm>
                  <a:prstGeom prst="rect">
                    <a:avLst/>
                  </a:prstGeom>
                </pic:spPr>
              </pic:pic>
            </a:graphicData>
          </a:graphic>
        </wp:inline>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SHANGHAIHUXIINDUSTRIAL</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72D51"/>
    <w:multiLevelType w:val="singleLevel"/>
    <w:tmpl w:val="62E72D51"/>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DI5OTVjOWI5Y2RlYTkyNmFhOTE4Zjc4YzdlZjEifQ=="/>
  </w:docVars>
  <w:rsids>
    <w:rsidRoot w:val="00172A27"/>
    <w:rsid w:val="00000422"/>
    <w:rsid w:val="0002414F"/>
    <w:rsid w:val="00091A92"/>
    <w:rsid w:val="000A30B6"/>
    <w:rsid w:val="000F0EE7"/>
    <w:rsid w:val="00172A2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43C10"/>
    <w:rsid w:val="00E54BE6"/>
    <w:rsid w:val="00E610B3"/>
    <w:rsid w:val="00E62DD8"/>
    <w:rsid w:val="00E900EE"/>
    <w:rsid w:val="00EC783E"/>
    <w:rsid w:val="00EF22FA"/>
    <w:rsid w:val="00EF585C"/>
    <w:rsid w:val="00F961F4"/>
    <w:rsid w:val="00FB5352"/>
    <w:rsid w:val="00FE197F"/>
    <w:rsid w:val="017212D3"/>
    <w:rsid w:val="02AA71DB"/>
    <w:rsid w:val="02D933F4"/>
    <w:rsid w:val="02DA62A6"/>
    <w:rsid w:val="02F87F3E"/>
    <w:rsid w:val="03F258F4"/>
    <w:rsid w:val="04E918A9"/>
    <w:rsid w:val="0692734F"/>
    <w:rsid w:val="07553E41"/>
    <w:rsid w:val="091F1204"/>
    <w:rsid w:val="0A184A29"/>
    <w:rsid w:val="0A366F57"/>
    <w:rsid w:val="0A965B96"/>
    <w:rsid w:val="0D3E7415"/>
    <w:rsid w:val="10C02CE0"/>
    <w:rsid w:val="10E60B82"/>
    <w:rsid w:val="11385EB2"/>
    <w:rsid w:val="117D1E52"/>
    <w:rsid w:val="125549F7"/>
    <w:rsid w:val="12F323D9"/>
    <w:rsid w:val="13377D20"/>
    <w:rsid w:val="15D5436E"/>
    <w:rsid w:val="162626F1"/>
    <w:rsid w:val="163338FF"/>
    <w:rsid w:val="167836D1"/>
    <w:rsid w:val="16855545"/>
    <w:rsid w:val="16A71820"/>
    <w:rsid w:val="18266440"/>
    <w:rsid w:val="18711AC3"/>
    <w:rsid w:val="1886336C"/>
    <w:rsid w:val="18E75226"/>
    <w:rsid w:val="19471AEB"/>
    <w:rsid w:val="1976192B"/>
    <w:rsid w:val="1A4C7833"/>
    <w:rsid w:val="1AB80B3F"/>
    <w:rsid w:val="1B871C86"/>
    <w:rsid w:val="1C4A28F1"/>
    <w:rsid w:val="1C4C67CA"/>
    <w:rsid w:val="1C8D4EFF"/>
    <w:rsid w:val="1E486378"/>
    <w:rsid w:val="1EEB4FA4"/>
    <w:rsid w:val="1F995798"/>
    <w:rsid w:val="20FD0276"/>
    <w:rsid w:val="2159429D"/>
    <w:rsid w:val="216A23E2"/>
    <w:rsid w:val="21B315F0"/>
    <w:rsid w:val="22E601DB"/>
    <w:rsid w:val="23243285"/>
    <w:rsid w:val="238169D3"/>
    <w:rsid w:val="241D3C4F"/>
    <w:rsid w:val="242D08AF"/>
    <w:rsid w:val="246A0583"/>
    <w:rsid w:val="24AE6CFC"/>
    <w:rsid w:val="26236FA9"/>
    <w:rsid w:val="28DC623A"/>
    <w:rsid w:val="295A600F"/>
    <w:rsid w:val="295E0169"/>
    <w:rsid w:val="2A602115"/>
    <w:rsid w:val="2A847618"/>
    <w:rsid w:val="2AC31D90"/>
    <w:rsid w:val="2BE36FED"/>
    <w:rsid w:val="2C2B4AD0"/>
    <w:rsid w:val="2C936415"/>
    <w:rsid w:val="2CBC35B2"/>
    <w:rsid w:val="2D270418"/>
    <w:rsid w:val="2D9E504D"/>
    <w:rsid w:val="2DBB4423"/>
    <w:rsid w:val="2E5E5B1C"/>
    <w:rsid w:val="30667F5E"/>
    <w:rsid w:val="32494755"/>
    <w:rsid w:val="33703C9F"/>
    <w:rsid w:val="33C64878"/>
    <w:rsid w:val="34121BAC"/>
    <w:rsid w:val="348346E6"/>
    <w:rsid w:val="348E7F12"/>
    <w:rsid w:val="35B92EB0"/>
    <w:rsid w:val="35C62DC6"/>
    <w:rsid w:val="36585CBC"/>
    <w:rsid w:val="36E10A24"/>
    <w:rsid w:val="379C5565"/>
    <w:rsid w:val="38EB4EFB"/>
    <w:rsid w:val="3A045A6B"/>
    <w:rsid w:val="3A542ACC"/>
    <w:rsid w:val="3ABF1760"/>
    <w:rsid w:val="3C105982"/>
    <w:rsid w:val="3C5E63A4"/>
    <w:rsid w:val="3D512FDD"/>
    <w:rsid w:val="3DA6127B"/>
    <w:rsid w:val="3DEB6E30"/>
    <w:rsid w:val="3E2B5E06"/>
    <w:rsid w:val="3E686015"/>
    <w:rsid w:val="3EBB5ABB"/>
    <w:rsid w:val="3FE25A8C"/>
    <w:rsid w:val="40764144"/>
    <w:rsid w:val="410B44C7"/>
    <w:rsid w:val="412D1CEA"/>
    <w:rsid w:val="428733E9"/>
    <w:rsid w:val="42C24D2F"/>
    <w:rsid w:val="43EA5F2F"/>
    <w:rsid w:val="442711AA"/>
    <w:rsid w:val="476C61D1"/>
    <w:rsid w:val="47EF4429"/>
    <w:rsid w:val="47FE067D"/>
    <w:rsid w:val="48C65A38"/>
    <w:rsid w:val="498B526A"/>
    <w:rsid w:val="4A527F2C"/>
    <w:rsid w:val="4AA4627F"/>
    <w:rsid w:val="4ADC76DB"/>
    <w:rsid w:val="4CA81950"/>
    <w:rsid w:val="4D47724B"/>
    <w:rsid w:val="4D4E77F2"/>
    <w:rsid w:val="4E931B10"/>
    <w:rsid w:val="4F344900"/>
    <w:rsid w:val="4FD73045"/>
    <w:rsid w:val="50AC16EB"/>
    <w:rsid w:val="51C771E3"/>
    <w:rsid w:val="51F9487C"/>
    <w:rsid w:val="52EE746C"/>
    <w:rsid w:val="53FC2F37"/>
    <w:rsid w:val="5452446D"/>
    <w:rsid w:val="54C350A3"/>
    <w:rsid w:val="5636758A"/>
    <w:rsid w:val="563C7D3B"/>
    <w:rsid w:val="56425ACF"/>
    <w:rsid w:val="567A4548"/>
    <w:rsid w:val="56925F29"/>
    <w:rsid w:val="56E0707C"/>
    <w:rsid w:val="576F688D"/>
    <w:rsid w:val="57D41957"/>
    <w:rsid w:val="5826783E"/>
    <w:rsid w:val="58926505"/>
    <w:rsid w:val="58C6092D"/>
    <w:rsid w:val="58F34817"/>
    <w:rsid w:val="591C6583"/>
    <w:rsid w:val="594D1214"/>
    <w:rsid w:val="59AB3574"/>
    <w:rsid w:val="5B204330"/>
    <w:rsid w:val="5B6647D1"/>
    <w:rsid w:val="5BDA755D"/>
    <w:rsid w:val="5DDC6E97"/>
    <w:rsid w:val="607225C9"/>
    <w:rsid w:val="608B6872"/>
    <w:rsid w:val="61E8541E"/>
    <w:rsid w:val="61FA2450"/>
    <w:rsid w:val="624F31B6"/>
    <w:rsid w:val="626F460D"/>
    <w:rsid w:val="62737F03"/>
    <w:rsid w:val="62BD7680"/>
    <w:rsid w:val="62EE29DB"/>
    <w:rsid w:val="63B80222"/>
    <w:rsid w:val="649D0C4F"/>
    <w:rsid w:val="64BB3B0A"/>
    <w:rsid w:val="64D476D0"/>
    <w:rsid w:val="65173864"/>
    <w:rsid w:val="65656C3E"/>
    <w:rsid w:val="67074C35"/>
    <w:rsid w:val="67B86FD5"/>
    <w:rsid w:val="689543F4"/>
    <w:rsid w:val="68CC736B"/>
    <w:rsid w:val="69A05A18"/>
    <w:rsid w:val="6AB4227F"/>
    <w:rsid w:val="6AD05C4D"/>
    <w:rsid w:val="6B3B6611"/>
    <w:rsid w:val="6B5251F4"/>
    <w:rsid w:val="6B6C7258"/>
    <w:rsid w:val="6BA7011A"/>
    <w:rsid w:val="6DFB560B"/>
    <w:rsid w:val="6F17421F"/>
    <w:rsid w:val="6F7B3153"/>
    <w:rsid w:val="6F975B11"/>
    <w:rsid w:val="705A68CE"/>
    <w:rsid w:val="707E7628"/>
    <w:rsid w:val="71E561F0"/>
    <w:rsid w:val="72DC41BF"/>
    <w:rsid w:val="733122FC"/>
    <w:rsid w:val="73587C07"/>
    <w:rsid w:val="737F1A45"/>
    <w:rsid w:val="73974732"/>
    <w:rsid w:val="74A64C8E"/>
    <w:rsid w:val="75EA64FF"/>
    <w:rsid w:val="76E353C5"/>
    <w:rsid w:val="77C15694"/>
    <w:rsid w:val="78323E75"/>
    <w:rsid w:val="7836761B"/>
    <w:rsid w:val="78F84331"/>
    <w:rsid w:val="79FB6B36"/>
    <w:rsid w:val="7A61311F"/>
    <w:rsid w:val="7A664B08"/>
    <w:rsid w:val="7AA2317C"/>
    <w:rsid w:val="7AA92934"/>
    <w:rsid w:val="7B70313E"/>
    <w:rsid w:val="7B965710"/>
    <w:rsid w:val="7C884387"/>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27B9-FC2E-4E73-B9DA-8BC9F2039351}">
  <ds:schemaRefs/>
</ds:datastoreItem>
</file>

<file path=docProps/app.xml><?xml version="1.0" encoding="utf-8"?>
<Properties xmlns="http://schemas.openxmlformats.org/officeDocument/2006/extended-properties" xmlns:vt="http://schemas.openxmlformats.org/officeDocument/2006/docPropsVTypes">
  <Template>Normal</Template>
  <Pages>4</Pages>
  <Words>903</Words>
  <Characters>1113</Characters>
  <Lines>5</Lines>
  <Paragraphs>1</Paragraphs>
  <TotalTime>0</TotalTime>
  <ScaleCrop>false</ScaleCrop>
  <LinksUpToDate>false</LinksUpToDate>
  <CharactersWithSpaces>1116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WPS_1671419067</cp:lastModifiedBy>
  <dcterms:modified xsi:type="dcterms:W3CDTF">2022-12-21T06:07:15Z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1A432A0D9FB44D1FB18379159589F032</vt:lpwstr>
  </property>
</Properties>
</file>