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161"/>
        </w:tabs>
        <w:jc w:val="center"/>
        <w:rPr>
          <w:rFonts w:hint="eastAsia"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  <w:lang w:eastAsia="zh-CN"/>
        </w:rPr>
        <w:drawing>
          <wp:inline distT="0" distB="0" distL="114300" distR="114300">
            <wp:extent cx="4844415" cy="3208655"/>
            <wp:effectExtent l="0" t="0" r="0" b="0"/>
            <wp:docPr id="1" name="图片 1" descr="透明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透明底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4415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center"/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993775</wp:posOffset>
                </wp:positionH>
                <wp:positionV relativeFrom="paragraph">
                  <wp:posOffset>18415</wp:posOffset>
                </wp:positionV>
                <wp:extent cx="3606800" cy="828040"/>
                <wp:effectExtent l="0" t="0" r="0" b="0"/>
                <wp:wrapThrough wrapText="bothSides">
                  <wp:wrapPolygon>
                    <wp:start x="567" y="1275"/>
                    <wp:lineTo x="21033" y="1275"/>
                    <wp:lineTo x="21033" y="20325"/>
                    <wp:lineTo x="567" y="20325"/>
                    <wp:lineTo x="567" y="1275"/>
                  </wp:wrapPolygon>
                </wp:wrapThrough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828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HX-CW2000H超声波微波组合反应系统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(超声波微波协同工作站）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25pt;margin-top:1.45pt;height:65.2pt;width:284pt;mso-wrap-distance-left:9pt;mso-wrap-distance-right:9pt;z-index:-251655168;mso-width-relative:page;mso-height-relative:page;" filled="f" stroked="f" coordsize="21600,21600" wrapcoords="567 1275 21033 1275 21033 20325 567 20325 567 1275" o:gfxdata="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HpGEa2AAAAAkBAAAPAAAAAAAAAAEAIAAAACIAAABkcnMv&#10;ZG93bnJldi54bWxQSwECFAAUAAAACACHTuJAx3F/mDwCAABmBAAADgAAAAAAAAABACAAAAAn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HX-CW2000H超声波微波组合反应系统</w:t>
                      </w:r>
                    </w:p>
                    <w:p>
                      <w:pPr>
                        <w:jc w:val="center"/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(超声波微波协同工作站）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>
      <w:pPr>
        <w:spacing w:line="360" w:lineRule="auto"/>
        <w:ind w:firstLine="482" w:firstLineChars="200"/>
        <w:jc w:val="center"/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</w:pPr>
    </w:p>
    <w:p>
      <w:pPr>
        <w:spacing w:line="360" w:lineRule="auto"/>
        <w:ind w:firstLine="482" w:firstLineChars="200"/>
        <w:jc w:val="center"/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</w:pPr>
    </w:p>
    <w:p>
      <w:pPr>
        <w:tabs>
          <w:tab w:val="left" w:pos="7161"/>
        </w:tabs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381000</wp:posOffset>
                </wp:positionV>
                <wp:extent cx="5272405" cy="381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240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1pt;margin-top:30pt;height:0.3pt;width:415.15pt;z-index:-251656192;mso-width-relative:page;mso-height-relative:page;" filled="f" stroked="t" coordsize="21600,21600" o:gfxdata="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Z&#10;eyux1QAAAAcBAAAPAAAAAAAAAAEAIAAAACIAAABkcnMvZG93bnJldi54bWxQSwECFAAUAAAACACH&#10;TuJAabUdEe4BAAC1AwAADgAAAAAAAAABACAAAAAkAQAAZHJzL2Uyb0RvYy54bWxQSwUGAAAAAAYA&#10;BgBZAQAAhA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1、产品</w:t>
      </w:r>
      <w:r>
        <w:rPr>
          <w:rFonts w:hint="eastAsia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应用</w:t>
      </w:r>
    </w:p>
    <w:p>
      <w:pPr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超声波微波组合反应系统，具有微波、超声波、微波超声波单独控制和协同功能。系统同时实现了7寸触摸界面控制、具有数据储存，以及高清可视化实时显示反应状态等功能。</w:t>
      </w:r>
    </w:p>
    <w:p>
      <w:pPr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微波化学合成仪广泛应用于高校、科研院所、生物制药、材料工矿等众多领域的化学合成。微波化学合成仪利用微波、超声波、紫外光等基础原理对反应物有有效的催化作用，可创造多种合成条件，加快化学合成反应等显著特点。</w:t>
      </w:r>
    </w:p>
    <w:p>
      <w:pPr>
        <w:spacing w:line="360" w:lineRule="auto"/>
        <w:jc w:val="left"/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p>
      <w:pPr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375285</wp:posOffset>
                </wp:positionV>
                <wp:extent cx="5291455" cy="381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145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6pt;margin-top:29.55pt;height:0.3pt;width:416.65pt;z-index:-251657216;mso-width-relative:page;mso-height-relative:page;" filled="f" stroked="t" coordsize="21600,21600" o:gfxdata="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ZUqJK1gAAAAgBAAAPAAAAAAAAAAEAIAAAACIAAABkcnMvZG93bnJldi54bWxQSwEC&#10;FAAUAAAACACHTuJAkBXpMvYBAAC/AwAADgAAAAAAAAABACAAAAAlAQAAZHJzL2Uyb0RvYy54bWxQ&#10;SwUGAAAAAAYABgBZAQAAjQ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2、产品特点</w:t>
      </w:r>
    </w:p>
    <w:p>
      <w:pPr>
        <w:pStyle w:val="10"/>
        <w:spacing w:before="0" w:beforeAutospacing="0" w:after="0" w:afterAutospacing="0" w:line="360" w:lineRule="auto"/>
        <w:rPr>
          <w:rFonts w:hint="default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技术特点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1.1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温控系统：红外温度传感器。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容器容量：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2000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ml。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操作系统：微电脑控制技术，多段程序控制模式。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超声功率:1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8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00W可微调；超声频率：20KHz，超声探头可进行介入或非介入样品，通过空化效应或者空气传输，作用于样品功能。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1.5</w:t>
      </w:r>
      <w:bookmarkStart w:id="0" w:name="_GoBack"/>
      <w:bookmarkEnd w:id="0"/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标配超声探头直径：Φ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适合不同口径的反应容器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.控制系统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.1微波频率：2450MHz,非脉冲连续自动变频控制，0-100%功率自动连续可调。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.2工业级磁控管：微波最大输出功率1000W。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.3温度控制系统：采用有线连接的铂金电阻测温传感器。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紫外催化系统：波长253.7nm，功率100W。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搅拌装置：磁力搅拌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搅拌转速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0~2500rpm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可调。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6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多功能操作模式，可以扩展为微波萃取、微波合成、超声破壁等。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.炉门、炉腔安全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.1六层钢结构安全炉门，采用缓冲浮动设计，确保实验过程中的安全。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.2采用机械锁、电子锁协调配合，保证运行过程中炉门无法开启，当炉门异常开启时仪器自动切断微波停止工作。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.3炉腔腔体采用316L工业级不锈钢一体成型，炉腔喷涂多达6层PFA防腐涂层。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.操作系统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.1微电脑控制技术，可实现历史数据查看，数据导出导入。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.2电容式液晶触摸显示屏，实时显示包括：温度、升温时间、恒温时间、微波功率、反应进程。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.3仪器内置方法库，可直接选取调用方案，可储存200种方法。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.反应组件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.1反应器可选配聚四氟乙烯或者耐高温、耐腐蚀玻璃材料，反应器容积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2000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ml。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.2反应器可连接玻璃导管，采用开放式反应体系，可安装滴液漏斗和冷凝管等进行回流反应。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</w:p>
    <w:p>
      <w:pPr>
        <w:pStyle w:val="10"/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3、技术参数</w:t>
      </w:r>
    </w:p>
    <w:tbl>
      <w:tblPr>
        <w:tblStyle w:val="12"/>
        <w:tblpPr w:leftFromText="180" w:rightFromText="180" w:vertAnchor="text" w:horzAnchor="page" w:tblpX="1800" w:tblpY="204"/>
        <w:tblOverlap w:val="never"/>
        <w:tblW w:w="8740" w:type="dxa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7"/>
        <w:gridCol w:w="3923"/>
      </w:tblGrid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型号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HX-CW2000H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货号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1008041001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容器容量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2000ml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超声波功率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1800W可微调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超声波变幅杆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随机：Φ25</w:t>
            </w: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ab/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超声波频率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20KHZ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超声波显示方式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真彩7寸触摸电容屏高清晰显示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超声波控制方式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单片机+TFT触控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超声波主机材质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铝合金+ABS塑料模具一次性成型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微波反应系统整机功率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2100W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微波反应系统最大输出功率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1000W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微波频率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2450MH，0-100%功率自动连续可调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微波温度传感器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无线可穿透红外温度传感传感器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微波测温范围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0～350℃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微波最高温度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250℃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微波控温精度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≤±1℃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微波测压范围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0-15Mpa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微波控压精度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±0.01Mpa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微波炉腔腔体材质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316L工业级不锈钢一体成型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微波炉门材质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缓冲浮动设计六层钢结构炉门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工作时间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连续工作、0-9999s可调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搅拌转速rpm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0~2500rpm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循环泵型号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HXS-0503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循环泵货号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1039019001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温度范围（℃）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-5~100℃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数显分辨率（℃）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0.1℃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内槽容积（长*宽*深mm）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170*180*130mm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循环泵流量（L/min）</w:t>
            </w:r>
          </w:p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8L/min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加水口（mm）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Φ35mm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总容量（L）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3.5L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循环泵仪器净重kg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27.5kg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循环泵仪器尺寸（深*宽*高mm)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440*300*510mm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微波仪器尺寸（长*宽*高mm）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500*480*550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超声波主机仪器尺寸（深*宽*高mm)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427*340*168</w:t>
            </w:r>
          </w:p>
        </w:tc>
      </w:tr>
    </w:tbl>
    <w:p>
      <w:pPr>
        <w:spacing w:line="360" w:lineRule="auto"/>
        <w:ind w:firstLine="480" w:firstLineChars="200"/>
        <w:jc w:val="center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0" w:footer="964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keepNext w:val="0"/>
      <w:keepLines w:val="0"/>
      <w:widowControl/>
      <w:shd w:val="clear" w:color="auto" w:fill="FFFFFF"/>
      <w:spacing w:before="120" w:after="120"/>
      <w:rPr>
        <w:rFonts w:ascii="宋体" w:hAnsi="宋体" w:eastAsia="宋体" w:cs="宋体"/>
        <w:color w:val="181717" w:themeColor="background2" w:themeShade="1A"/>
        <w:sz w:val="18"/>
        <w:szCs w:val="18"/>
      </w:rPr>
    </w:pPr>
  </w:p>
  <w:p>
    <w:pPr>
      <w:pStyle w:val="5"/>
      <w:keepNext w:val="0"/>
      <w:keepLines w:val="0"/>
      <w:widowControl/>
      <w:shd w:val="clear" w:color="auto" w:fill="FFFFFF"/>
      <w:spacing w:before="120" w:after="120"/>
      <w:rPr>
        <w:rFonts w:ascii="微软雅黑" w:hAnsi="微软雅黑" w:eastAsia="微软雅黑" w:cs="微软雅黑"/>
        <w:color w:val="959FE7"/>
        <w:sz w:val="18"/>
        <w:szCs w:val="18"/>
      </w:rPr>
    </w:pPr>
  </w:p>
  <w:p>
    <w:pPr>
      <w:pStyle w:val="8"/>
      <w:ind w:firstLine="960" w:firstLineChars="400"/>
      <w:rPr>
        <w:sz w:val="24"/>
        <w:szCs w:val="24"/>
        <w14:textOutline w14:w="12700" w14:cap="flat" w14:cmpd="sng" w14:algn="ctr">
          <w14:solidFill>
            <w14:schemeClr w14:val="accent1"/>
          </w14:solidFill>
          <w14:prstDash w14:val="solid"/>
          <w14:round/>
        </w14:textOutline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line="240" w:lineRule="atLeast"/>
      <w:jc w:val="left"/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</w:pPr>
    <w:r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  <w:drawing>
        <wp:inline distT="0" distB="0" distL="114300" distR="114300">
          <wp:extent cx="958215" cy="958215"/>
          <wp:effectExtent l="0" t="0" r="13335" b="13335"/>
          <wp:docPr id="2" name="图片 2" descr="沪析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沪析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8215" cy="958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tabs>
        <w:tab w:val="center" w:pos="4153"/>
        <w:tab w:val="right" w:pos="8306"/>
      </w:tabs>
      <w:rPr>
        <w:b/>
        <w:color w:val="203864" w:themeColor="accent1" w:themeShade="80"/>
        <w:sz w:val="30"/>
        <w:szCs w:val="30"/>
      </w:rPr>
    </w:pPr>
    <w:r>
      <w:rPr>
        <w:rFonts w:hint="eastAsia"/>
        <w:b/>
        <w:color w:val="203864" w:themeColor="accent1" w:themeShade="80"/>
        <w:sz w:val="30"/>
        <w:szCs w:val="30"/>
      </w:rPr>
      <w:t>上海沪析实业有限公司</w:t>
    </w:r>
  </w:p>
  <w:p>
    <w:pPr>
      <w:pStyle w:val="9"/>
      <w:pBdr>
        <w:bottom w:val="none" w:color="auto" w:sz="0" w:space="1"/>
      </w:pBdr>
      <w:tabs>
        <w:tab w:val="center" w:pos="4153"/>
        <w:tab w:val="right" w:pos="8306"/>
      </w:tabs>
      <w:ind w:firstLine="2530" w:firstLineChars="1400"/>
      <w:jc w:val="both"/>
      <w:rPr>
        <w:b/>
        <w:color w:val="203864" w:themeColor="accent1" w:themeShade="80"/>
      </w:rPr>
    </w:pPr>
    <w:r>
      <w:rPr>
        <w:rFonts w:hint="eastAsia"/>
        <w:b/>
        <w:bCs/>
        <w:color w:val="203864" w:themeColor="accent1" w:themeShade="80"/>
        <w:kern w:val="0"/>
      </w:rPr>
      <w:t>SHANGHAIHUXIINDUSTRIAL</w:t>
    </w:r>
    <w:r>
      <w:rPr>
        <w:b/>
        <w:bCs/>
        <w:color w:val="203864" w:themeColor="accent1" w:themeShade="80"/>
        <w:kern w:val="0"/>
      </w:rPr>
      <w:t>CO.,LTD.</w:t>
    </w:r>
  </w:p>
  <w:p>
    <w:pPr>
      <w:jc w:val="center"/>
      <w:rPr>
        <w:sz w:val="24"/>
        <w:szCs w:val="24"/>
      </w:rPr>
    </w:pPr>
  </w:p>
  <w:p>
    <w:pPr>
      <w:pBdr>
        <w:bottom w:val="dotDash" w:color="003366" w:sz="4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FmNDI5OTVjOWI5Y2RlYTkyNmFhOTE4Zjc4YzdlZjEifQ=="/>
  </w:docVars>
  <w:rsids>
    <w:rsidRoot w:val="00172A27"/>
    <w:rsid w:val="00000422"/>
    <w:rsid w:val="0002414F"/>
    <w:rsid w:val="00091A92"/>
    <w:rsid w:val="000A30B6"/>
    <w:rsid w:val="000F0EE7"/>
    <w:rsid w:val="00172A27"/>
    <w:rsid w:val="001C2F0D"/>
    <w:rsid w:val="0020067A"/>
    <w:rsid w:val="00227827"/>
    <w:rsid w:val="00262F28"/>
    <w:rsid w:val="002B6FFF"/>
    <w:rsid w:val="002C777E"/>
    <w:rsid w:val="002F2DF2"/>
    <w:rsid w:val="002F500E"/>
    <w:rsid w:val="002F74BD"/>
    <w:rsid w:val="00343CBD"/>
    <w:rsid w:val="003775A9"/>
    <w:rsid w:val="003D498D"/>
    <w:rsid w:val="004A2EE0"/>
    <w:rsid w:val="004E7E09"/>
    <w:rsid w:val="00535C95"/>
    <w:rsid w:val="00580C1D"/>
    <w:rsid w:val="00596893"/>
    <w:rsid w:val="005A5BBC"/>
    <w:rsid w:val="0069114D"/>
    <w:rsid w:val="006B6DB7"/>
    <w:rsid w:val="00741072"/>
    <w:rsid w:val="007650E0"/>
    <w:rsid w:val="007A51F4"/>
    <w:rsid w:val="00854961"/>
    <w:rsid w:val="008B2ECB"/>
    <w:rsid w:val="00955DE4"/>
    <w:rsid w:val="0098299C"/>
    <w:rsid w:val="00990FAD"/>
    <w:rsid w:val="009E7CF6"/>
    <w:rsid w:val="00A4672B"/>
    <w:rsid w:val="00A94E0D"/>
    <w:rsid w:val="00AA4A1B"/>
    <w:rsid w:val="00AA5CBF"/>
    <w:rsid w:val="00B61697"/>
    <w:rsid w:val="00B839ED"/>
    <w:rsid w:val="00BD42F1"/>
    <w:rsid w:val="00C47428"/>
    <w:rsid w:val="00C83139"/>
    <w:rsid w:val="00DA0404"/>
    <w:rsid w:val="00DA6A09"/>
    <w:rsid w:val="00E15CAB"/>
    <w:rsid w:val="00E2271A"/>
    <w:rsid w:val="00E43C10"/>
    <w:rsid w:val="00E54BE6"/>
    <w:rsid w:val="00E610B3"/>
    <w:rsid w:val="00E62DD8"/>
    <w:rsid w:val="00E900EE"/>
    <w:rsid w:val="00EC783E"/>
    <w:rsid w:val="00EF22FA"/>
    <w:rsid w:val="00EF585C"/>
    <w:rsid w:val="00F961F4"/>
    <w:rsid w:val="00FB5352"/>
    <w:rsid w:val="00FE197F"/>
    <w:rsid w:val="013C070D"/>
    <w:rsid w:val="017212D3"/>
    <w:rsid w:val="02AA71DB"/>
    <w:rsid w:val="02D933F4"/>
    <w:rsid w:val="02F87F3E"/>
    <w:rsid w:val="03F258F4"/>
    <w:rsid w:val="04E918A9"/>
    <w:rsid w:val="059A70EE"/>
    <w:rsid w:val="06872BF9"/>
    <w:rsid w:val="0692734F"/>
    <w:rsid w:val="07553E41"/>
    <w:rsid w:val="08DD4532"/>
    <w:rsid w:val="091F1204"/>
    <w:rsid w:val="0A184A29"/>
    <w:rsid w:val="0A366F57"/>
    <w:rsid w:val="0A810E0F"/>
    <w:rsid w:val="0A965B96"/>
    <w:rsid w:val="0AB1211B"/>
    <w:rsid w:val="0D3E7415"/>
    <w:rsid w:val="10C02CE0"/>
    <w:rsid w:val="10E60B82"/>
    <w:rsid w:val="11385EB2"/>
    <w:rsid w:val="117D1E52"/>
    <w:rsid w:val="12F323D9"/>
    <w:rsid w:val="13377D20"/>
    <w:rsid w:val="134639A2"/>
    <w:rsid w:val="15D5436E"/>
    <w:rsid w:val="162626F1"/>
    <w:rsid w:val="163338FF"/>
    <w:rsid w:val="167836D1"/>
    <w:rsid w:val="16855545"/>
    <w:rsid w:val="16A71820"/>
    <w:rsid w:val="18580FEE"/>
    <w:rsid w:val="18711AC3"/>
    <w:rsid w:val="1886336C"/>
    <w:rsid w:val="18E75226"/>
    <w:rsid w:val="19471AEB"/>
    <w:rsid w:val="1976192B"/>
    <w:rsid w:val="19A30E80"/>
    <w:rsid w:val="1A4C7833"/>
    <w:rsid w:val="1AB80B3F"/>
    <w:rsid w:val="1B802910"/>
    <w:rsid w:val="1B871C86"/>
    <w:rsid w:val="1C4A28F1"/>
    <w:rsid w:val="1C8D4EFF"/>
    <w:rsid w:val="1D04709D"/>
    <w:rsid w:val="1DA9445C"/>
    <w:rsid w:val="1E486378"/>
    <w:rsid w:val="1EEB4FA4"/>
    <w:rsid w:val="1F995798"/>
    <w:rsid w:val="20FD0276"/>
    <w:rsid w:val="2159429D"/>
    <w:rsid w:val="216A23E2"/>
    <w:rsid w:val="22E601DB"/>
    <w:rsid w:val="23243285"/>
    <w:rsid w:val="234A61BC"/>
    <w:rsid w:val="238169D3"/>
    <w:rsid w:val="241D3C4F"/>
    <w:rsid w:val="246A0583"/>
    <w:rsid w:val="24AE6CFC"/>
    <w:rsid w:val="250B5E9D"/>
    <w:rsid w:val="26236FA9"/>
    <w:rsid w:val="270A6E69"/>
    <w:rsid w:val="28DC623A"/>
    <w:rsid w:val="28E74A12"/>
    <w:rsid w:val="295A600F"/>
    <w:rsid w:val="295E0169"/>
    <w:rsid w:val="29A931D4"/>
    <w:rsid w:val="2A4F2C3F"/>
    <w:rsid w:val="2A602115"/>
    <w:rsid w:val="2A847618"/>
    <w:rsid w:val="2AC31D90"/>
    <w:rsid w:val="2B3C4900"/>
    <w:rsid w:val="2BE36FED"/>
    <w:rsid w:val="2C2B4AD0"/>
    <w:rsid w:val="2C936415"/>
    <w:rsid w:val="2C9C151B"/>
    <w:rsid w:val="2CBC35B2"/>
    <w:rsid w:val="2D270418"/>
    <w:rsid w:val="2D9E504D"/>
    <w:rsid w:val="2DBB4423"/>
    <w:rsid w:val="2E5E5B1C"/>
    <w:rsid w:val="2E697FFC"/>
    <w:rsid w:val="2EC658E5"/>
    <w:rsid w:val="30667F5E"/>
    <w:rsid w:val="32494755"/>
    <w:rsid w:val="34121BAC"/>
    <w:rsid w:val="348346E6"/>
    <w:rsid w:val="348E7F12"/>
    <w:rsid w:val="34C14A3C"/>
    <w:rsid w:val="34E06485"/>
    <w:rsid w:val="35B92EB0"/>
    <w:rsid w:val="35C62DC6"/>
    <w:rsid w:val="365065FE"/>
    <w:rsid w:val="36585CBC"/>
    <w:rsid w:val="36764981"/>
    <w:rsid w:val="36E10A24"/>
    <w:rsid w:val="379C5565"/>
    <w:rsid w:val="38950DA7"/>
    <w:rsid w:val="3962620A"/>
    <w:rsid w:val="3A045A6B"/>
    <w:rsid w:val="3A542ACC"/>
    <w:rsid w:val="3ABF1760"/>
    <w:rsid w:val="3B730410"/>
    <w:rsid w:val="3BB56AC5"/>
    <w:rsid w:val="3C5E63A4"/>
    <w:rsid w:val="3D350701"/>
    <w:rsid w:val="3D512FDD"/>
    <w:rsid w:val="3DA6127B"/>
    <w:rsid w:val="3DEB6E30"/>
    <w:rsid w:val="3E2B5E06"/>
    <w:rsid w:val="3E686015"/>
    <w:rsid w:val="403E7A40"/>
    <w:rsid w:val="40764144"/>
    <w:rsid w:val="410B44C7"/>
    <w:rsid w:val="4183361C"/>
    <w:rsid w:val="428733E9"/>
    <w:rsid w:val="43EA5F2F"/>
    <w:rsid w:val="442711AA"/>
    <w:rsid w:val="468E2FF9"/>
    <w:rsid w:val="47452E02"/>
    <w:rsid w:val="476C61D1"/>
    <w:rsid w:val="498B526A"/>
    <w:rsid w:val="49F622FF"/>
    <w:rsid w:val="4A527F2C"/>
    <w:rsid w:val="4A5B32C9"/>
    <w:rsid w:val="4AA4627F"/>
    <w:rsid w:val="4AB415DF"/>
    <w:rsid w:val="4ABD11B4"/>
    <w:rsid w:val="4ADC76DB"/>
    <w:rsid w:val="4CA81950"/>
    <w:rsid w:val="4D47724B"/>
    <w:rsid w:val="4D4E77F2"/>
    <w:rsid w:val="4DD60620"/>
    <w:rsid w:val="4E931B10"/>
    <w:rsid w:val="4F344900"/>
    <w:rsid w:val="4FD73045"/>
    <w:rsid w:val="50AC16EB"/>
    <w:rsid w:val="50F44540"/>
    <w:rsid w:val="51C771E3"/>
    <w:rsid w:val="51F9487C"/>
    <w:rsid w:val="52EE746C"/>
    <w:rsid w:val="53FC2F37"/>
    <w:rsid w:val="5452446D"/>
    <w:rsid w:val="5636758A"/>
    <w:rsid w:val="563C7D3B"/>
    <w:rsid w:val="56425ACF"/>
    <w:rsid w:val="567A4548"/>
    <w:rsid w:val="56E0707C"/>
    <w:rsid w:val="576F688D"/>
    <w:rsid w:val="57D41957"/>
    <w:rsid w:val="5826783E"/>
    <w:rsid w:val="58926505"/>
    <w:rsid w:val="58C6092D"/>
    <w:rsid w:val="58F34817"/>
    <w:rsid w:val="59071320"/>
    <w:rsid w:val="591C6583"/>
    <w:rsid w:val="594D1214"/>
    <w:rsid w:val="59AB3574"/>
    <w:rsid w:val="5B204330"/>
    <w:rsid w:val="5B605153"/>
    <w:rsid w:val="5BDA755D"/>
    <w:rsid w:val="5C2719BA"/>
    <w:rsid w:val="5DDC6E97"/>
    <w:rsid w:val="5F744FE9"/>
    <w:rsid w:val="5FE8656F"/>
    <w:rsid w:val="607225C9"/>
    <w:rsid w:val="608B6872"/>
    <w:rsid w:val="60DD4FA9"/>
    <w:rsid w:val="61FA2450"/>
    <w:rsid w:val="624F31B6"/>
    <w:rsid w:val="626F460D"/>
    <w:rsid w:val="62737F03"/>
    <w:rsid w:val="62BD7680"/>
    <w:rsid w:val="62EE29DB"/>
    <w:rsid w:val="630A0FFD"/>
    <w:rsid w:val="63B80222"/>
    <w:rsid w:val="649D0C4F"/>
    <w:rsid w:val="64BB3B0A"/>
    <w:rsid w:val="65173864"/>
    <w:rsid w:val="6565085D"/>
    <w:rsid w:val="65656C3E"/>
    <w:rsid w:val="67074C35"/>
    <w:rsid w:val="67B86FD5"/>
    <w:rsid w:val="68CC736B"/>
    <w:rsid w:val="68FB2629"/>
    <w:rsid w:val="69A05A18"/>
    <w:rsid w:val="6AB4227F"/>
    <w:rsid w:val="6AC503C3"/>
    <w:rsid w:val="6AD05C4D"/>
    <w:rsid w:val="6B3B6611"/>
    <w:rsid w:val="6B4176E8"/>
    <w:rsid w:val="6B5251F4"/>
    <w:rsid w:val="6B6C7258"/>
    <w:rsid w:val="6BA7011A"/>
    <w:rsid w:val="6C8D3BF5"/>
    <w:rsid w:val="6DC7675A"/>
    <w:rsid w:val="6DFB560B"/>
    <w:rsid w:val="6E08658F"/>
    <w:rsid w:val="6F17421F"/>
    <w:rsid w:val="6F6B6571"/>
    <w:rsid w:val="6F7B3153"/>
    <w:rsid w:val="6F975B11"/>
    <w:rsid w:val="704A5472"/>
    <w:rsid w:val="705A68CE"/>
    <w:rsid w:val="71B96608"/>
    <w:rsid w:val="71E561F0"/>
    <w:rsid w:val="72DC41BF"/>
    <w:rsid w:val="73587C07"/>
    <w:rsid w:val="737F1A45"/>
    <w:rsid w:val="73974732"/>
    <w:rsid w:val="73AE3639"/>
    <w:rsid w:val="74A64C8E"/>
    <w:rsid w:val="75B46F5B"/>
    <w:rsid w:val="75EA64FF"/>
    <w:rsid w:val="76E353C5"/>
    <w:rsid w:val="77C15694"/>
    <w:rsid w:val="77DF1FFC"/>
    <w:rsid w:val="78323E75"/>
    <w:rsid w:val="7836761B"/>
    <w:rsid w:val="78F84331"/>
    <w:rsid w:val="79FB6B36"/>
    <w:rsid w:val="7A61311F"/>
    <w:rsid w:val="7A664B08"/>
    <w:rsid w:val="7AA2317C"/>
    <w:rsid w:val="7B1B79EC"/>
    <w:rsid w:val="7B59763B"/>
    <w:rsid w:val="7B70313E"/>
    <w:rsid w:val="7B965710"/>
    <w:rsid w:val="7CAD3559"/>
    <w:rsid w:val="7D806002"/>
    <w:rsid w:val="7E2F6C16"/>
    <w:rsid w:val="7E753733"/>
    <w:rsid w:val="7F5B0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2">
    <w:name w:val="Table Grid"/>
    <w:basedOn w:val="1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Light Grid Accent 5"/>
    <w:basedOn w:val="11"/>
    <w:qFormat/>
    <w:uiPriority w:val="62"/>
    <w:tblPr>
      <w:tblBorders>
        <w:top w:val="single" w:color="5B9BD5" w:themeColor="accent5" w:sz="8" w:space="0"/>
        <w:left w:val="single" w:color="5B9BD5" w:themeColor="accent5" w:sz="8" w:space="0"/>
        <w:bottom w:val="single" w:color="5B9BD5" w:themeColor="accent5" w:sz="8" w:space="0"/>
        <w:right w:val="single" w:color="5B9BD5" w:themeColor="accent5" w:sz="8" w:space="0"/>
        <w:insideH w:val="single" w:color="5B9BD5" w:themeColor="accent5" w:sz="8" w:space="0"/>
        <w:insideV w:val="single" w:color="5B9BD5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1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5" w:sz="6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</w:tcPr>
    </w:tblStylePr>
    <w:tblStylePr w:type="band1Vert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</w:tcPr>
    </w:tblStyle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Hyperlink"/>
    <w:basedOn w:val="14"/>
    <w:unhideWhenUsed/>
    <w:qFormat/>
    <w:uiPriority w:val="99"/>
    <w:rPr>
      <w:color w:val="0000FF"/>
      <w:u w:val="single"/>
    </w:rPr>
  </w:style>
  <w:style w:type="character" w:customStyle="1" w:styleId="17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9">
    <w:name w:val="批注框文本 Char"/>
    <w:basedOn w:val="14"/>
    <w:link w:val="7"/>
    <w:semiHidden/>
    <w:qFormat/>
    <w:uiPriority w:val="99"/>
    <w:rPr>
      <w:kern w:val="2"/>
      <w:sz w:val="18"/>
      <w:szCs w:val="18"/>
    </w:rPr>
  </w:style>
  <w:style w:type="paragraph" w:customStyle="1" w:styleId="20">
    <w:name w:val="样式1"/>
    <w:basedOn w:val="1"/>
    <w:next w:val="8"/>
    <w:qFormat/>
    <w:uiPriority w:val="0"/>
    <w:pPr>
      <w:jc w:val="center"/>
    </w:pPr>
  </w:style>
  <w:style w:type="paragraph" w:customStyle="1" w:styleId="21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7827B9-FC2E-4E73-B9DA-8BC9F203935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1138</Words>
  <Characters>1430</Characters>
  <Lines>5</Lines>
  <Paragraphs>1</Paragraphs>
  <TotalTime>1</TotalTime>
  <ScaleCrop>false</ScaleCrop>
  <LinksUpToDate>false</LinksUpToDate>
  <CharactersWithSpaces>1431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2018-05-21T01:33:00Z</dcterms:created>
  <dc:creator>孙长娟</dc:creator>
  <cp:lastModifiedBy>WPS_1671419067</cp:lastModifiedBy>
  <dcterms:modified xsi:type="dcterms:W3CDTF">2023-01-12T06:26:59Z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31110CECBB9B4A188AAF4F2895AE9434</vt:lpwstr>
  </property>
</Properties>
</file>