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jc w:val="center"/>
        <w:rPr>
          <w:sz w:val="30"/>
        </w:rPr>
      </w:pPr>
      <w:r>
        <w:rPr>
          <w:sz w:val="30"/>
        </w:rPr>
        <w:drawing>
          <wp:inline distT="0" distB="0" distL="114300" distR="114300">
            <wp:extent cx="2016125" cy="2164080"/>
            <wp:effectExtent l="0" t="0" r="0" b="0"/>
            <wp:docPr id="2" name="图片 2" descr="5cf2cc9e66ec342ae0dfc54ab89ca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cf2cc9e66ec342ae0dfc54ab89caaf"/>
                    <pic:cNvPicPr>
                      <a:picLocks noChangeAspect="1"/>
                    </pic:cNvPicPr>
                  </pic:nvPicPr>
                  <pic:blipFill>
                    <a:blip r:embed="rId6"/>
                    <a:srcRect l="29167" t="29733" r="32599" b="29227"/>
                    <a:stretch>
                      <a:fillRect/>
                    </a:stretch>
                  </pic:blipFill>
                  <pic:spPr>
                    <a:xfrm>
                      <a:off x="0" y="0"/>
                      <a:ext cx="2016125" cy="2164080"/>
                    </a:xfrm>
                    <a:prstGeom prst="rect">
                      <a:avLst/>
                    </a:prstGeom>
                  </pic:spPr>
                </pic:pic>
              </a:graphicData>
            </a:graphic>
          </wp:inline>
        </w:drawing>
      </w: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sz w:val="30"/>
        </w:rPr>
        <mc:AlternateContent>
          <mc:Choice Requires="wps">
            <w:drawing>
              <wp:anchor distT="0" distB="0" distL="114300" distR="114300" simplePos="0" relativeHeight="251662336" behindDoc="0" locked="0" layoutInCell="1" allowOverlap="1">
                <wp:simplePos x="0" y="0"/>
                <wp:positionH relativeFrom="column">
                  <wp:posOffset>1318260</wp:posOffset>
                </wp:positionH>
                <wp:positionV relativeFrom="paragraph">
                  <wp:posOffset>38735</wp:posOffset>
                </wp:positionV>
                <wp:extent cx="1828800" cy="182880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HX-</w:t>
                            </w: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20</w: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00</w:t>
                            </w: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Z</w: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W工业型超声波破碎仪</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03.8pt;margin-top:3.05pt;height:144pt;width:144pt;mso-wrap-distance-bottom:0pt;mso-wrap-distance-top:0pt;mso-wrap-style:none;z-index:251662336;mso-width-relative:page;mso-height-relative:page;" filled="f" stroked="f" coordsize="21600,21600" o:gfxdata="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evfQDXAAAACQEAAA8AAAAAAAAAAQAgAAAAIgAAAGRycy9kb3ducmV2&#10;LnhtbFBLAQIUABQAAAAIAIdO4kAifS+2NgIAAGUEAAAOAAAAAAAAAAEAIAAAACYBAABkcnMvZTJv&#10;RG9jLnhtbFBLBQYAAAAABgAGAFkBAADOBQAAAAA=&#10;">
                <v:fill on="f" focussize="0,0"/>
                <v:stroke on="f" weight="0.5pt"/>
                <v:imagedata o:title=""/>
                <o:lock v:ext="edit" aspectratio="f"/>
                <v:textbox style="mso-fit-shape-to-text:t;">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HX-</w:t>
                      </w: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20</w: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00</w:t>
                      </w: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Z</w: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W工业型超声波破碎仪</w:t>
                      </w:r>
                    </w:p>
                  </w:txbxContent>
                </v:textbox>
                <w10:wrap type="topAndBottom"/>
              </v:shape>
            </w:pict>
          </mc:Fallback>
        </mc:AlternateContent>
      </w: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zBocNsAAAAKAQAADwAAAAAAAAABACAAAAAiAAAAZHJz&#10;L2Rvd25yZXYueG1sUEsBAhQAFAAAAAgAh07iQCLqnjE6AgAAZgQAAA4AAAAAAAAAAQAgAAAAKgEA&#10;AGRycy9lMm9Eb2MueG1sUEsFBgAAAAAGAAYAWQEAANYFAAAAAA==&#10;">
                <v:fill on="f" focussize="0,0"/>
                <v:stroke on="f" weight="0.5pt"/>
                <v:imagedata o:title=""/>
                <o:lock v:ext="edit" aspectratio="f"/>
                <v:textbo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1312"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55168;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eyux1QAAAAcBAAAPAAAAAAAAAAEAIAAAACIAAABkcnMvZG93bnJldi54bWxQSwECFAAUAAAACACH&#10;TuJAabUdEe4BAAC1AwAADgAAAAAAAAABACAAAAAkAQAAZHJzL2Uyb0RvYy54bWxQSwUGAAAAAAYA&#10;BgBZAQAAhA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adjustRightInd w:val="0"/>
        <w:spacing w:line="360" w:lineRule="auto"/>
        <w:ind w:firstLine="480" w:firstLineChars="200"/>
        <w:rPr>
          <w:rFonts w:ascii="宋体" w:hAnsi="宋体"/>
          <w:color w:val="2F5597" w:themeColor="accent1" w:themeShade="BF"/>
          <w:sz w:val="24"/>
          <w:szCs w:val="24"/>
        </w:rPr>
      </w:pPr>
      <w:r>
        <w:rPr>
          <w:rFonts w:hint="eastAsia" w:ascii="宋体" w:hAnsi="宋体"/>
          <w:color w:val="2F5597" w:themeColor="accent1" w:themeShade="BF"/>
          <w:sz w:val="24"/>
          <w:szCs w:val="24"/>
        </w:rPr>
        <w:t>超声波细胞粉碎机（破碎仪或超声波裂解器）是一种利用强超声在液体中产生空化效应，对物质进行超声处理的多功能、多用途的仪器，能用于多种动植物细胞、病毒细胞的破碎，同时可用来乳化、分离、提取、消泡、脱气、清洗及加速化学反应等等。被应用于生物化学、微生物学、药物化学、表面化学、物理学、动物学、农学、制药等领域的教学、科研及生产。</w:t>
      </w:r>
    </w:p>
    <w:p>
      <w:pPr>
        <w:adjustRightInd w:val="0"/>
        <w:spacing w:line="360" w:lineRule="auto"/>
        <w:ind w:firstLine="480" w:firstLineChars="200"/>
        <w:rPr>
          <w:rFonts w:ascii="宋体" w:hAnsi="宋体"/>
          <w:color w:val="2F5597" w:themeColor="accent1" w:themeShade="BF"/>
          <w:sz w:val="24"/>
          <w:szCs w:val="24"/>
        </w:rPr>
      </w:pP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6192;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功能全，外观美，性能可靠，采用最新单片机技术+</w:t>
      </w:r>
      <w:r>
        <w:rPr>
          <w:rFonts w:hint="eastAsia" w:ascii="宋体" w:hAnsi="宋体" w:cs="宋体"/>
          <w:color w:val="2F5597" w:themeColor="accent1" w:themeShade="BF"/>
          <w:sz w:val="24"/>
          <w:szCs w:val="24"/>
          <w:lang w:val="en-US" w:eastAsia="zh-CN"/>
        </w:rPr>
        <w:t>7</w:t>
      </w:r>
      <w:r>
        <w:rPr>
          <w:rFonts w:hint="eastAsia" w:ascii="宋体" w:hAnsi="宋体" w:cs="宋体"/>
          <w:color w:val="2F5597" w:themeColor="accent1" w:themeShade="BF"/>
          <w:sz w:val="24"/>
          <w:szCs w:val="24"/>
        </w:rPr>
        <w:t>寸TFT电容触摸屏控制，可选配电脑通讯或数据打印等功能</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智能化程度高，中央微机集中控制，超声时间，功率可从1%-100%设定</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样品温度检测显示、频率微机自动跟踪、故障自动报警</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配套隔音箱一台，降低噪音百分之七十以上</w:t>
      </w:r>
      <w:r>
        <w:rPr>
          <w:rFonts w:hint="eastAsia" w:ascii="宋体" w:hAnsi="宋体" w:cs="宋体"/>
          <w:color w:val="2F5597" w:themeColor="accent1" w:themeShade="BF"/>
          <w:sz w:val="24"/>
          <w:szCs w:val="24"/>
        </w:rPr>
        <w:br w:type="textWrapping"/>
      </w:r>
      <w:r>
        <w:rPr>
          <w:rFonts w:hint="eastAsia" w:ascii="宋体" w:hAnsi="宋体" w:cs="宋体"/>
          <w:color w:val="2F5597" w:themeColor="accent1" w:themeShade="BF"/>
          <w:sz w:val="24"/>
          <w:szCs w:val="24"/>
        </w:rPr>
        <w:t>配套美铝7075换能器+高纯度钛合金变幅杆一套，工业型的变幅杆可连续实现超声一小时以上（是要高纯度的钛合金才可以实现）</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带有过载保护功能及变幅杆未浸入液体中会自动保护变幅杆不受损坏</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可实现故障、超温或操作失误等引起的语音报警功能，更加的人性化</w:t>
      </w:r>
    </w:p>
    <w:p>
      <w:pPr>
        <w:pStyle w:val="21"/>
        <w:adjustRightInd w:val="0"/>
        <w:spacing w:line="360" w:lineRule="auto"/>
        <w:ind w:firstLine="0" w:firstLineChars="0"/>
        <w:rPr>
          <w:rFonts w:ascii="宋体" w:hAnsi="宋体" w:cs="宋体"/>
          <w:color w:val="2F5597" w:themeColor="accent1" w:themeShade="BF"/>
          <w:sz w:val="24"/>
          <w:szCs w:val="24"/>
        </w:rPr>
      </w:pPr>
      <w:bookmarkStart w:id="0" w:name="_GoBack"/>
      <w:bookmarkEnd w:id="0"/>
    </w:p>
    <w:p>
      <w:pPr>
        <w:pStyle w:val="21"/>
        <w:adjustRightInd w:val="0"/>
        <w:spacing w:line="360" w:lineRule="auto"/>
        <w:ind w:firstLine="0" w:firstLineChars="0"/>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3、技术参数</w:t>
      </w:r>
    </w:p>
    <w:tbl>
      <w:tblPr>
        <w:tblStyle w:val="12"/>
        <w:tblW w:w="8522"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3627"/>
        <w:gridCol w:w="4895"/>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shd w:val="clear" w:color="auto" w:fill="FFFFFF" w:themeFill="background1"/>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型号</w:t>
            </w:r>
          </w:p>
        </w:tc>
        <w:tc>
          <w:tcPr>
            <w:tcW w:w="4895" w:type="dxa"/>
            <w:tcBorders>
              <w:tl2br w:val="nil"/>
              <w:tr2bl w:val="nil"/>
            </w:tcBorders>
            <w:shd w:val="clear" w:color="auto" w:fill="FFFFFF" w:themeFill="background1"/>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lang w:val="en-US" w:eastAsia="zh-CN"/>
              </w:rPr>
              <w:t>HX-</w:t>
            </w:r>
            <w:r>
              <w:rPr>
                <w:rFonts w:hint="eastAsia" w:ascii="宋体" w:hAnsi="宋体" w:eastAsia="宋体" w:cs="宋体"/>
                <w:color w:val="2F5597" w:themeColor="accent1" w:themeShade="BF"/>
                <w:sz w:val="24"/>
                <w:szCs w:val="24"/>
              </w:rPr>
              <w:t>2000</w:t>
            </w:r>
            <w:r>
              <w:rPr>
                <w:rFonts w:hint="eastAsia" w:ascii="宋体" w:hAnsi="宋体" w:eastAsia="宋体" w:cs="宋体"/>
                <w:color w:val="2F5597" w:themeColor="accent1" w:themeShade="BF"/>
                <w:sz w:val="24"/>
                <w:szCs w:val="24"/>
                <w:lang w:val="en-US" w:eastAsia="zh-CN"/>
              </w:rPr>
              <w:t>Z</w:t>
            </w:r>
            <w:r>
              <w:rPr>
                <w:rFonts w:hint="eastAsia" w:ascii="宋体" w:hAnsi="宋体" w:eastAsia="宋体" w:cs="宋体"/>
                <w:color w:val="2F5597" w:themeColor="accent1" w:themeShade="BF"/>
                <w:sz w:val="24"/>
                <w:szCs w:val="24"/>
              </w:rPr>
              <w:t>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shd w:val="clear" w:color="auto" w:fill="FFFFFF" w:themeFill="background1"/>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lang w:val="en-US" w:eastAsia="zh-CN"/>
              </w:rPr>
              <w:t>货号</w:t>
            </w:r>
          </w:p>
        </w:tc>
        <w:tc>
          <w:tcPr>
            <w:tcW w:w="4895" w:type="dxa"/>
            <w:tcBorders>
              <w:tl2br w:val="nil"/>
              <w:tr2bl w:val="nil"/>
            </w:tcBorders>
            <w:shd w:val="clear" w:color="auto" w:fill="FFFFFF" w:themeFill="background1"/>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lang w:val="en-US" w:eastAsia="zh-CN"/>
              </w:rPr>
              <w:fldChar w:fldCharType="begin"/>
            </w:r>
            <w:r>
              <w:rPr>
                <w:rFonts w:hint="eastAsia" w:ascii="宋体" w:hAnsi="宋体" w:eastAsia="宋体" w:cs="宋体"/>
                <w:color w:val="2F5597" w:themeColor="accent1" w:themeShade="BF"/>
                <w:sz w:val="24"/>
                <w:szCs w:val="24"/>
                <w:lang w:val="en-US" w:eastAsia="zh-CN"/>
              </w:rPr>
              <w:instrText xml:space="preserve"> HYPERLINK "javascript:void(0)" </w:instrText>
            </w:r>
            <w:r>
              <w:rPr>
                <w:rFonts w:hint="eastAsia" w:ascii="宋体" w:hAnsi="宋体" w:eastAsia="宋体" w:cs="宋体"/>
                <w:color w:val="2F5597" w:themeColor="accent1" w:themeShade="BF"/>
                <w:sz w:val="24"/>
                <w:szCs w:val="24"/>
                <w:lang w:val="en-US" w:eastAsia="zh-CN"/>
              </w:rPr>
              <w:fldChar w:fldCharType="separate"/>
            </w:r>
            <w:r>
              <w:rPr>
                <w:rFonts w:hint="eastAsia" w:ascii="宋体" w:hAnsi="宋体" w:eastAsia="宋体" w:cs="宋体"/>
                <w:color w:val="2F5597" w:themeColor="accent1" w:themeShade="BF"/>
                <w:sz w:val="24"/>
                <w:szCs w:val="24"/>
                <w:lang w:val="en-US" w:eastAsia="zh-CN"/>
              </w:rPr>
              <w:t>1008042001</w:t>
            </w:r>
            <w:r>
              <w:rPr>
                <w:rFonts w:hint="eastAsia" w:ascii="宋体" w:hAnsi="宋体" w:eastAsia="宋体" w:cs="宋体"/>
                <w:color w:val="2F5597" w:themeColor="accent1" w:themeShade="BF"/>
                <w:sz w:val="24"/>
                <w:szCs w:val="24"/>
                <w:lang w:val="en-US" w:eastAsia="zh-CN"/>
              </w:rPr>
              <w:fldChar w:fldCharType="end"/>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shd w:val="clear" w:color="auto" w:fill="FFFFFF" w:themeFill="background1"/>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功率MAX</w:t>
            </w:r>
          </w:p>
        </w:tc>
        <w:tc>
          <w:tcPr>
            <w:tcW w:w="4895" w:type="dxa"/>
            <w:tcBorders>
              <w:tl2br w:val="nil"/>
              <w:tr2bl w:val="nil"/>
            </w:tcBorders>
            <w:shd w:val="clear" w:color="auto" w:fill="FFFFFF" w:themeFill="background1"/>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2000W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shd w:val="clear" w:color="auto" w:fill="FFFFFF" w:themeFill="background1"/>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功率调节方式</w:t>
            </w:r>
          </w:p>
        </w:tc>
        <w:tc>
          <w:tcPr>
            <w:tcW w:w="4895" w:type="dxa"/>
            <w:tcBorders>
              <w:tl2br w:val="nil"/>
              <w:tr2bl w:val="nil"/>
            </w:tcBorders>
            <w:shd w:val="clear" w:color="auto" w:fill="FFFFFF" w:themeFill="background1"/>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自动调整</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破碎容量</w:t>
            </w:r>
          </w:p>
        </w:tc>
        <w:tc>
          <w:tcPr>
            <w:tcW w:w="4895"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300-3000ml(需选配相应的变幅杆)</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显示方式</w:t>
            </w:r>
          </w:p>
        </w:tc>
        <w:tc>
          <w:tcPr>
            <w:tcW w:w="4895"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真彩7寸电容触摸屏显示</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总时间设置（超声开+关）</w:t>
            </w:r>
          </w:p>
        </w:tc>
        <w:tc>
          <w:tcPr>
            <w:tcW w:w="4895"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1-99H59M59S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脉冲时间设置（超声开/关）</w:t>
            </w:r>
          </w:p>
        </w:tc>
        <w:tc>
          <w:tcPr>
            <w:tcW w:w="4895"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0.1-99.9S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连续超声功能</w:t>
            </w:r>
          </w:p>
        </w:tc>
        <w:tc>
          <w:tcPr>
            <w:tcW w:w="4895"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支持</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频率范围</w:t>
            </w:r>
          </w:p>
        </w:tc>
        <w:tc>
          <w:tcPr>
            <w:tcW w:w="4895"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19.5-20.5KHz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温控范围</w:t>
            </w:r>
          </w:p>
        </w:tc>
        <w:tc>
          <w:tcPr>
            <w:tcW w:w="4895"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0-100度（可选配低温恒温）</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报警功能</w:t>
            </w:r>
          </w:p>
        </w:tc>
        <w:tc>
          <w:tcPr>
            <w:tcW w:w="4895"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温度、时间、过载、空载、超温</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随机标配变幅杆(mm)</w:t>
            </w:r>
          </w:p>
        </w:tc>
        <w:tc>
          <w:tcPr>
            <w:tcW w:w="4895"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Φ30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数据储存</w:t>
            </w:r>
          </w:p>
        </w:tc>
        <w:tc>
          <w:tcPr>
            <w:tcW w:w="4895"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20组</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电源（可选配110V)</w:t>
            </w:r>
          </w:p>
        </w:tc>
        <w:tc>
          <w:tcPr>
            <w:tcW w:w="4895"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220V/50Hz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主机</w:t>
            </w:r>
            <w:r>
              <w:rPr>
                <w:rFonts w:hint="eastAsia" w:ascii="宋体" w:hAnsi="宋体" w:cs="宋体"/>
                <w:color w:val="2F5597" w:themeColor="accent1" w:themeShade="BF"/>
                <w:sz w:val="24"/>
                <w:szCs w:val="24"/>
              </w:rPr>
              <w:t>尺寸（</w:t>
            </w:r>
            <w:r>
              <w:rPr>
                <w:rFonts w:hint="eastAsia" w:ascii="宋体" w:hAnsi="宋体" w:cs="宋体"/>
                <w:color w:val="2F5597" w:themeColor="accent1" w:themeShade="BF"/>
                <w:sz w:val="24"/>
                <w:szCs w:val="24"/>
                <w:lang w:val="en-US" w:eastAsia="zh-CN"/>
              </w:rPr>
              <w:t>长</w:t>
            </w:r>
            <w:r>
              <w:rPr>
                <w:rFonts w:hint="eastAsia" w:ascii="宋体" w:hAnsi="宋体" w:cs="宋体"/>
                <w:color w:val="2F5597" w:themeColor="accent1" w:themeShade="BF"/>
                <w:sz w:val="24"/>
                <w:szCs w:val="24"/>
              </w:rPr>
              <w:t>*宽*高）</w:t>
            </w:r>
            <w:r>
              <w:rPr>
                <w:rFonts w:hint="eastAsia" w:ascii="宋体" w:hAnsi="宋体" w:cs="宋体"/>
                <w:color w:val="2F5597" w:themeColor="accent1" w:themeShade="BF"/>
                <w:sz w:val="24"/>
                <w:szCs w:val="24"/>
                <w:lang w:val="en-US" w:eastAsia="zh-CN"/>
              </w:rPr>
              <w:t>mm</w:t>
            </w:r>
          </w:p>
        </w:tc>
        <w:tc>
          <w:tcPr>
            <w:tcW w:w="4895"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427*340*168</w:t>
            </w:r>
            <w:r>
              <w:rPr>
                <w:rFonts w:hint="eastAsia" w:ascii="宋体" w:hAnsi="宋体" w:cs="宋体"/>
                <w:color w:val="2F5597" w:themeColor="accent1" w:themeShade="BF"/>
                <w:sz w:val="24"/>
                <w:szCs w:val="24"/>
                <w:lang w:val="en-US" w:eastAsia="zh-CN"/>
              </w:rPr>
              <w:t>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控制方式</w:t>
            </w:r>
          </w:p>
        </w:tc>
        <w:tc>
          <w:tcPr>
            <w:tcW w:w="4895"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单片机+TFT触控</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语音报警和提示功能</w:t>
            </w:r>
          </w:p>
        </w:tc>
        <w:tc>
          <w:tcPr>
            <w:tcW w:w="4895"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有</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vAlign w:val="center"/>
          </w:tcPr>
          <w:p>
            <w:pPr>
              <w:widowControl/>
              <w:shd w:val="clear" w:color="auto" w:fill="FFFFFF"/>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sz w:val="24"/>
                <w:szCs w:val="24"/>
              </w:rPr>
              <w:t>可选配</w:t>
            </w:r>
          </w:p>
        </w:tc>
        <w:tc>
          <w:tcPr>
            <w:tcW w:w="4895" w:type="dxa"/>
            <w:tcBorders>
              <w:tl2br w:val="nil"/>
              <w:tr2bl w:val="nil"/>
            </w:tcBorders>
            <w:vAlign w:val="center"/>
          </w:tcPr>
          <w:p>
            <w:pPr>
              <w:widowControl/>
              <w:shd w:val="clear" w:color="auto" w:fill="FFFFFF"/>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sz w:val="24"/>
                <w:szCs w:val="24"/>
              </w:rPr>
              <w:t>低温恒温功能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vAlign w:val="center"/>
          </w:tcPr>
          <w:p>
            <w:pPr>
              <w:widowControl/>
              <w:shd w:val="clear" w:color="auto" w:fill="FFFFFF"/>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sz w:val="24"/>
                <w:szCs w:val="24"/>
              </w:rPr>
              <w:t>可选配</w:t>
            </w:r>
          </w:p>
        </w:tc>
        <w:tc>
          <w:tcPr>
            <w:tcW w:w="4895" w:type="dxa"/>
            <w:tcBorders>
              <w:tl2br w:val="nil"/>
              <w:tr2bl w:val="nil"/>
            </w:tcBorders>
            <w:vAlign w:val="center"/>
          </w:tcPr>
          <w:p>
            <w:pPr>
              <w:widowControl/>
              <w:shd w:val="clear" w:color="auto" w:fill="FFFFFF"/>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sz w:val="24"/>
                <w:szCs w:val="24"/>
              </w:rPr>
              <w:t>换能器固定支架</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vAlign w:val="center"/>
          </w:tcPr>
          <w:p>
            <w:pPr>
              <w:widowControl/>
              <w:shd w:val="clear" w:color="auto" w:fill="FFFFFF"/>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sz w:val="24"/>
                <w:szCs w:val="24"/>
              </w:rPr>
              <w:t>可选配</w:t>
            </w:r>
          </w:p>
        </w:tc>
        <w:tc>
          <w:tcPr>
            <w:tcW w:w="4895" w:type="dxa"/>
            <w:tcBorders>
              <w:tl2br w:val="nil"/>
              <w:tr2bl w:val="nil"/>
            </w:tcBorders>
            <w:vAlign w:val="center"/>
          </w:tcPr>
          <w:p>
            <w:pPr>
              <w:widowControl/>
              <w:shd w:val="clear" w:color="auto" w:fill="FFFFFF"/>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sz w:val="24"/>
                <w:szCs w:val="24"/>
              </w:rPr>
              <w:t>高硼硅玻璃反应釜</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684" w:hRule="exact"/>
          <w:jc w:val="center"/>
        </w:trPr>
        <w:tc>
          <w:tcPr>
            <w:tcW w:w="3627" w:type="dxa"/>
            <w:tcBorders>
              <w:tl2br w:val="nil"/>
              <w:tr2bl w:val="nil"/>
            </w:tcBorders>
            <w:vAlign w:val="center"/>
          </w:tcPr>
          <w:p>
            <w:pPr>
              <w:widowControl/>
              <w:shd w:val="clear" w:color="auto" w:fill="FFFFFF"/>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sz w:val="24"/>
                <w:szCs w:val="24"/>
              </w:rPr>
              <w:t>可选配</w:t>
            </w:r>
          </w:p>
        </w:tc>
        <w:tc>
          <w:tcPr>
            <w:tcW w:w="4895" w:type="dxa"/>
            <w:tcBorders>
              <w:tl2br w:val="nil"/>
              <w:tr2bl w:val="nil"/>
            </w:tcBorders>
            <w:vAlign w:val="center"/>
          </w:tcPr>
          <w:p>
            <w:pPr>
              <w:widowControl/>
              <w:shd w:val="clear" w:color="auto" w:fill="FFFFFF"/>
              <w:jc w:val="center"/>
              <w:textAlignment w:val="center"/>
              <w:rPr>
                <w:rFonts w:hint="eastAsia" w:ascii="宋体" w:hAnsi="宋体" w:eastAsia="宋体" w:cs="宋体"/>
                <w:color w:val="2F5597" w:themeColor="accent1" w:themeShade="BF"/>
                <w:sz w:val="24"/>
                <w:szCs w:val="24"/>
              </w:rPr>
            </w:pPr>
            <w:r>
              <w:rPr>
                <w:rFonts w:hint="eastAsia" w:ascii="宋体" w:hAnsi="宋体" w:eastAsia="宋体" w:cs="宋体"/>
                <w:color w:val="2F5597" w:themeColor="accent1" w:themeShade="BF"/>
                <w:sz w:val="24"/>
                <w:szCs w:val="24"/>
              </w:rPr>
              <w:t>电脑通讯+隔音箱照明、灭菌或样品自动升降功能</w:t>
            </w:r>
          </w:p>
          <w:p>
            <w:pPr>
              <w:widowControl/>
              <w:shd w:val="clear" w:color="auto" w:fill="FFFFFF"/>
              <w:jc w:val="center"/>
              <w:textAlignment w:val="center"/>
              <w:rPr>
                <w:rFonts w:hint="eastAsia" w:ascii="宋体" w:hAnsi="宋体" w:eastAsia="宋体" w:cs="宋体"/>
                <w:color w:val="2F5597" w:themeColor="accent1" w:themeShade="BF"/>
                <w:kern w:val="2"/>
                <w:sz w:val="24"/>
                <w:szCs w:val="24"/>
                <w:lang w:val="en-US" w:eastAsia="zh-CN" w:bidi="ar-SA"/>
              </w:rPr>
            </w:pPr>
          </w:p>
        </w:tc>
      </w:tr>
    </w:tbl>
    <w:p>
      <w:pPr>
        <w:pStyle w:val="21"/>
        <w:adjustRightInd w:val="0"/>
        <w:spacing w:line="360" w:lineRule="auto"/>
        <w:ind w:left="420" w:leftChars="200" w:firstLine="0" w:firstLineChars="0"/>
        <w:rPr>
          <w:rFonts w:hint="eastAsia" w:ascii="宋体" w:hAnsi="宋体" w:cs="宋体"/>
          <w:color w:val="2F5597" w:themeColor="accent1" w:themeShade="BF"/>
          <w:sz w:val="24"/>
          <w:szCs w:val="24"/>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4、可选配变幅杆</w:t>
      </w:r>
    </w:p>
    <w:p>
      <w:pPr>
        <w:pStyle w:val="10"/>
        <w:spacing w:before="0" w:beforeAutospacing="0" w:after="0" w:afterAutospacing="0" w:line="360" w:lineRule="auto"/>
        <w:ind w:firstLine="1920" w:firstLineChars="800"/>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drawing>
          <wp:inline distT="0" distB="0" distL="0" distR="0">
            <wp:extent cx="400050" cy="11049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400050" cy="1104900"/>
                    </a:xfrm>
                    <a:prstGeom prst="rect">
                      <a:avLst/>
                    </a:prstGeom>
                  </pic:spPr>
                </pic:pic>
              </a:graphicData>
            </a:graphic>
          </wp:inline>
        </w:drawing>
      </w:r>
      <w:r>
        <w:rPr>
          <w:rFonts w:hint="eastAsia"/>
        </w:rPr>
        <w:t xml:space="preserve">      </w:t>
      </w:r>
      <w:r>
        <w:t xml:space="preserve"> </w:t>
      </w:r>
      <w:r>
        <w:rPr>
          <w:rFonts w:hint="eastAsia"/>
        </w:rPr>
        <w:t xml:space="preserve"> </w:t>
      </w:r>
      <w:r>
        <w:drawing>
          <wp:inline distT="0" distB="0" distL="0" distR="0">
            <wp:extent cx="466725" cy="11334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466725" cy="1133475"/>
                    </a:xfrm>
                    <a:prstGeom prst="rect">
                      <a:avLst/>
                    </a:prstGeom>
                  </pic:spPr>
                </pic:pic>
              </a:graphicData>
            </a:graphic>
          </wp:inline>
        </w:drawing>
      </w:r>
      <w:r>
        <w:t xml:space="preserve"> </w:t>
      </w:r>
      <w:r>
        <w:rPr>
          <w:rFonts w:hint="eastAsia"/>
        </w:rPr>
        <w:t xml:space="preserve">       </w:t>
      </w:r>
      <w:r>
        <w:drawing>
          <wp:inline distT="0" distB="0" distL="0" distR="0">
            <wp:extent cx="295275" cy="120015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tretch>
                      <a:fillRect/>
                    </a:stretch>
                  </pic:blipFill>
                  <pic:spPr>
                    <a:xfrm>
                      <a:off x="0" y="0"/>
                      <a:ext cx="295275" cy="1200150"/>
                    </a:xfrm>
                    <a:prstGeom prst="rect">
                      <a:avLst/>
                    </a:prstGeom>
                  </pic:spPr>
                </pic:pic>
              </a:graphicData>
            </a:graphic>
          </wp:inline>
        </w:drawing>
      </w:r>
      <w:r>
        <w:rPr>
          <w:rFonts w:hint="eastAsia"/>
        </w:rPr>
        <w:t xml:space="preserve">    </w:t>
      </w:r>
    </w:p>
    <w:tbl>
      <w:tblPr>
        <w:tblStyle w:val="12"/>
        <w:tblW w:w="8181"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1985"/>
        <w:gridCol w:w="1985"/>
        <w:gridCol w:w="1985"/>
        <w:gridCol w:w="2226"/>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变幅杆</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直径</w:t>
            </w:r>
            <w:r>
              <w:rPr>
                <w:rFonts w:ascii="宋体" w:hAnsi="宋体" w:cs="宋体"/>
                <w:color w:val="2F5597" w:themeColor="accent1" w:themeShade="BF"/>
                <w:sz w:val="24"/>
                <w:szCs w:val="24"/>
              </w:rPr>
              <w:t>mm</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处理量</w:t>
            </w:r>
            <w:r>
              <w:rPr>
                <w:rFonts w:ascii="宋体" w:hAnsi="宋体" w:cs="宋体"/>
                <w:color w:val="2F5597" w:themeColor="accent1" w:themeShade="BF"/>
                <w:sz w:val="24"/>
                <w:szCs w:val="24"/>
              </w:rPr>
              <w:t>ml</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功率比</w:t>
            </w:r>
            <w:r>
              <w:rPr>
                <w:rFonts w:ascii="宋体" w:hAnsi="宋体" w:cs="宋体"/>
                <w:color w:val="2F5597" w:themeColor="accent1" w:themeShade="BF"/>
                <w:sz w:val="24"/>
                <w:szCs w:val="24"/>
              </w:rPr>
              <w: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hint="eastAsia" w:ascii="宋体" w:hAnsi="宋体" w:cs="宋体"/>
                <w:color w:val="2F5597" w:themeColor="accent1" w:themeShade="BF"/>
                <w:sz w:val="24"/>
                <w:szCs w:val="24"/>
              </w:rPr>
            </w:pPr>
            <w:r>
              <w:rPr>
                <w:rFonts w:ascii="Cambria Math" w:hAnsi="Cambria Math" w:cs="Cambria Math"/>
                <w:color w:val="2F5597" w:themeColor="accent1" w:themeShade="BF"/>
                <w:sz w:val="24"/>
                <w:szCs w:val="24"/>
              </w:rPr>
              <w:t>⑪</w:t>
            </w:r>
          </w:p>
        </w:tc>
        <w:tc>
          <w:tcPr>
            <w:tcW w:w="1985" w:type="dxa"/>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Φ20</w:t>
            </w:r>
          </w:p>
        </w:tc>
        <w:tc>
          <w:tcPr>
            <w:tcW w:w="1985" w:type="dxa"/>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100-1000</w:t>
            </w:r>
          </w:p>
        </w:tc>
        <w:tc>
          <w:tcPr>
            <w:tcW w:w="2226" w:type="dxa"/>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10-90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Cambria Math" w:hAnsi="Cambria Math" w:cs="Cambria Math"/>
                <w:color w:val="2F5597" w:themeColor="accent1" w:themeShade="BF"/>
                <w:sz w:val="24"/>
                <w:szCs w:val="24"/>
              </w:rPr>
            </w:pPr>
            <w:r>
              <w:rPr>
                <w:rFonts w:ascii="Cambria Math" w:hAnsi="Cambria Math" w:cs="Cambria Math"/>
                <w:color w:val="2F5597" w:themeColor="accent1" w:themeShade="BF"/>
                <w:sz w:val="24"/>
                <w:szCs w:val="24"/>
              </w:rPr>
              <w:t>⑭</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Φ38</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500-2000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自动调整</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hint="eastAsia" w:ascii="Cambria Math" w:hAnsi="Cambria Math" w:cs="Cambria Math"/>
                <w:color w:val="2F5597" w:themeColor="accent1" w:themeShade="BF"/>
                <w:sz w:val="24"/>
                <w:szCs w:val="24"/>
              </w:rPr>
            </w:pPr>
            <w:r>
              <w:rPr>
                <w:rFonts w:ascii="Cambria Math" w:hAnsi="Cambria Math" w:cs="Cambria Math"/>
                <w:color w:val="2F5597" w:themeColor="accent1" w:themeShade="BF"/>
                <w:sz w:val="24"/>
                <w:szCs w:val="24"/>
              </w:rPr>
              <w:t>⑮</w:t>
            </w:r>
          </w:p>
        </w:tc>
        <w:tc>
          <w:tcPr>
            <w:tcW w:w="1985" w:type="dxa"/>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Φ40</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1000-5000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自动调整</w:t>
            </w:r>
          </w:p>
        </w:tc>
      </w:tr>
    </w:tbl>
    <w:p>
      <w:pPr>
        <w:pStyle w:val="21"/>
        <w:adjustRightInd w:val="0"/>
        <w:spacing w:line="360" w:lineRule="auto"/>
        <w:ind w:left="420" w:leftChars="200" w:firstLine="0" w:firstLineChars="0"/>
        <w:rPr>
          <w:rFonts w:ascii="宋体" w:hAnsi="宋体" w:cs="宋体"/>
          <w:color w:val="2F5597" w:themeColor="accent1" w:themeShade="BF"/>
          <w:sz w:val="24"/>
          <w:szCs w:val="24"/>
        </w:rPr>
      </w:pP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5、</w:t>
      </w:r>
      <w:r>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装箱清单</w:t>
      </w:r>
    </w:p>
    <w:tbl>
      <w:tblPr>
        <w:tblStyle w:val="12"/>
        <w:tblW w:w="7596"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5019"/>
        <w:gridCol w:w="2577"/>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名称</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数量</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超声波发生器</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1台</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振动系统（换能器组件+6MM）</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1套</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隔音箱（另外包装）</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升降台（在隔音箱内）</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电源线</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1根</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备用保险丝（电源线袋内）</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使用说明书</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保修卡(含合格证)</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温度探头（电源线袋内）</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1只</w:t>
            </w:r>
          </w:p>
        </w:tc>
      </w:tr>
    </w:tbl>
    <w:p>
      <w:pPr>
        <w:pStyle w:val="10"/>
        <w:shd w:val="clear" w:color="auto" w:fill="FFFFFF"/>
        <w:spacing w:before="0" w:beforeAutospacing="0" w:after="0" w:afterAutospacing="0" w:line="645" w:lineRule="atLeast"/>
        <w:rPr>
          <w:rFonts w:hint="eastAsia" w:ascii="黑体" w:hAnsi="黑体" w:eastAsia="黑体"/>
          <w:sz w:val="18"/>
          <w:lang w:val="en-US" w:eastAsia="zh-CN"/>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hd w:val="clear" w:color="auto" w:fill="FFFFFF"/>
        <w:spacing w:before="0" w:beforeAutospacing="0" w:after="0" w:afterAutospacing="0" w:line="645" w:lineRule="atLeast"/>
        <w:rPr>
          <w:rFonts w:ascii="微软雅黑" w:hAnsi="微软雅黑" w:eastAsia="微软雅黑" w:cs="微软雅黑"/>
          <w:color w:val="474747"/>
          <w:shd w:val="clear" w:color="auto" w:fill="FFFFFF"/>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1367790" cy="1367790"/>
          <wp:effectExtent l="0" t="0" r="3810" b="3810"/>
          <wp:docPr id="1" name="图片 1" descr="沪析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沪析logo"/>
                  <pic:cNvPicPr>
                    <a:picLocks noChangeAspect="1"/>
                  </pic:cNvPicPr>
                </pic:nvPicPr>
                <pic:blipFill>
                  <a:blip r:embed="rId1"/>
                  <a:stretch>
                    <a:fillRect/>
                  </a:stretch>
                </pic:blipFill>
                <pic:spPr>
                  <a:xfrm>
                    <a:off x="0" y="0"/>
                    <a:ext cx="1367790" cy="1367790"/>
                  </a:xfrm>
                  <a:prstGeom prst="rect">
                    <a:avLst/>
                  </a:prstGeom>
                </pic:spPr>
              </pic:pic>
            </a:graphicData>
          </a:graphic>
        </wp:inline>
      </w:drawing>
    </w:r>
  </w:p>
  <w:p>
    <w:pPr>
      <w:pStyle w:val="9"/>
      <w:pBdr>
        <w:bottom w:val="none" w:color="auto" w:sz="0" w:space="1"/>
      </w:pBdr>
      <w:tabs>
        <w:tab w:val="center" w:pos="4153"/>
        <w:tab w:val="right" w:pos="8306"/>
      </w:tabs>
      <w:rPr>
        <w:b/>
        <w:color w:val="203864" w:themeColor="accent1" w:themeShade="80"/>
        <w:sz w:val="30"/>
        <w:szCs w:val="30"/>
      </w:rPr>
    </w:pPr>
    <w:r>
      <w:rPr>
        <w:rFonts w:hint="eastAsia"/>
        <w:b/>
        <w:color w:val="203864" w:themeColor="accent1" w:themeShade="80"/>
        <w:sz w:val="30"/>
        <w:szCs w:val="30"/>
      </w:rPr>
      <w:t xml:space="preserve"> 上海沪析实业有限公司</w:t>
    </w:r>
  </w:p>
  <w:p>
    <w:pPr>
      <w:pStyle w:val="9"/>
      <w:pBdr>
        <w:bottom w:val="none" w:color="auto" w:sz="0" w:space="1"/>
      </w:pBdr>
      <w:tabs>
        <w:tab w:val="center" w:pos="4153"/>
        <w:tab w:val="right" w:pos="8306"/>
      </w:tabs>
      <w:ind w:firstLine="2530" w:firstLineChars="1400"/>
      <w:jc w:val="both"/>
      <w:rPr>
        <w:b/>
        <w:color w:val="203864" w:themeColor="accent1" w:themeShade="80"/>
      </w:rPr>
    </w:pPr>
    <w:r>
      <w:rPr>
        <w:rFonts w:hint="eastAsia"/>
        <w:b/>
        <w:bCs/>
        <w:color w:val="203864" w:themeColor="accent1" w:themeShade="80"/>
        <w:kern w:val="0"/>
      </w:rPr>
      <w:t xml:space="preserve">SHANGHAI HUXI INDUSTRIAL </w:t>
    </w:r>
    <w:r>
      <w:rPr>
        <w:b/>
        <w:bCs/>
        <w:color w:val="203864" w:themeColor="accent1" w:themeShade="80"/>
        <w:kern w:val="0"/>
      </w:rPr>
      <w:t>CO.,LTD.</w:t>
    </w:r>
  </w:p>
  <w:p>
    <w:pPr>
      <w:jc w:val="center"/>
      <w:rPr>
        <w:sz w:val="24"/>
        <w:szCs w:val="24"/>
      </w:rPr>
    </w:pPr>
  </w:p>
  <w:p>
    <w:pPr>
      <w:pBdr>
        <w:bottom w:val="dotDash" w:color="003366" w:sz="4"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5109FF"/>
    <w:multiLevelType w:val="multilevel"/>
    <w:tmpl w:val="235109F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NDI5OTVjOWI5Y2RlYTkyNmFhOTE4Zjc4YzdlZjEifQ=="/>
  </w:docVars>
  <w:rsids>
    <w:rsidRoot w:val="000A30B6"/>
    <w:rsid w:val="00000422"/>
    <w:rsid w:val="0002414F"/>
    <w:rsid w:val="00091A92"/>
    <w:rsid w:val="000A30B6"/>
    <w:rsid w:val="000F0EE7"/>
    <w:rsid w:val="001C2F0D"/>
    <w:rsid w:val="0020067A"/>
    <w:rsid w:val="00227827"/>
    <w:rsid w:val="00262F28"/>
    <w:rsid w:val="002B6FFF"/>
    <w:rsid w:val="002C777E"/>
    <w:rsid w:val="002F2DF2"/>
    <w:rsid w:val="002F500E"/>
    <w:rsid w:val="002F74BD"/>
    <w:rsid w:val="00343CBD"/>
    <w:rsid w:val="003775A9"/>
    <w:rsid w:val="003D498D"/>
    <w:rsid w:val="004A2EE0"/>
    <w:rsid w:val="004E7E09"/>
    <w:rsid w:val="00535C95"/>
    <w:rsid w:val="00580C1D"/>
    <w:rsid w:val="00596893"/>
    <w:rsid w:val="005A5BBC"/>
    <w:rsid w:val="0069114D"/>
    <w:rsid w:val="00741072"/>
    <w:rsid w:val="007650E0"/>
    <w:rsid w:val="007A51F4"/>
    <w:rsid w:val="00850F2E"/>
    <w:rsid w:val="00854961"/>
    <w:rsid w:val="008B2ECB"/>
    <w:rsid w:val="0091138D"/>
    <w:rsid w:val="00955DE4"/>
    <w:rsid w:val="0098299C"/>
    <w:rsid w:val="00990FAD"/>
    <w:rsid w:val="009E7CF6"/>
    <w:rsid w:val="00A4672B"/>
    <w:rsid w:val="00A94E0D"/>
    <w:rsid w:val="00AA4A1B"/>
    <w:rsid w:val="00AA5CBF"/>
    <w:rsid w:val="00B61697"/>
    <w:rsid w:val="00B839ED"/>
    <w:rsid w:val="00BD42F1"/>
    <w:rsid w:val="00C47428"/>
    <w:rsid w:val="00C83139"/>
    <w:rsid w:val="00D16E15"/>
    <w:rsid w:val="00DA0404"/>
    <w:rsid w:val="00DA6A09"/>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865464"/>
    <w:rsid w:val="04E918A9"/>
    <w:rsid w:val="0692734F"/>
    <w:rsid w:val="07553E41"/>
    <w:rsid w:val="091F1204"/>
    <w:rsid w:val="0A184A29"/>
    <w:rsid w:val="0A366F57"/>
    <w:rsid w:val="0A965B96"/>
    <w:rsid w:val="10C02CE0"/>
    <w:rsid w:val="10E60B82"/>
    <w:rsid w:val="11385EB2"/>
    <w:rsid w:val="117D1E52"/>
    <w:rsid w:val="12F323D9"/>
    <w:rsid w:val="13377D20"/>
    <w:rsid w:val="162626F1"/>
    <w:rsid w:val="163338FF"/>
    <w:rsid w:val="16555E74"/>
    <w:rsid w:val="167836D1"/>
    <w:rsid w:val="16855545"/>
    <w:rsid w:val="16A71820"/>
    <w:rsid w:val="18711AC3"/>
    <w:rsid w:val="1886336C"/>
    <w:rsid w:val="1976192B"/>
    <w:rsid w:val="1A4C7833"/>
    <w:rsid w:val="1A972BD3"/>
    <w:rsid w:val="1AB80B3F"/>
    <w:rsid w:val="1B871C86"/>
    <w:rsid w:val="1C4A28F1"/>
    <w:rsid w:val="1C8D4EFF"/>
    <w:rsid w:val="1E486378"/>
    <w:rsid w:val="1F995798"/>
    <w:rsid w:val="2159429D"/>
    <w:rsid w:val="216A23E2"/>
    <w:rsid w:val="22E601DB"/>
    <w:rsid w:val="23243285"/>
    <w:rsid w:val="241D3C4F"/>
    <w:rsid w:val="246A0583"/>
    <w:rsid w:val="24AE6CFC"/>
    <w:rsid w:val="295A600F"/>
    <w:rsid w:val="2A602115"/>
    <w:rsid w:val="2A847618"/>
    <w:rsid w:val="2AC31D90"/>
    <w:rsid w:val="2BE36FED"/>
    <w:rsid w:val="2C2B4AD0"/>
    <w:rsid w:val="2C936415"/>
    <w:rsid w:val="2CBC35B2"/>
    <w:rsid w:val="2D270418"/>
    <w:rsid w:val="2D9E504D"/>
    <w:rsid w:val="2DBB4423"/>
    <w:rsid w:val="2E5E5B1C"/>
    <w:rsid w:val="2F19093F"/>
    <w:rsid w:val="30667F5E"/>
    <w:rsid w:val="32494755"/>
    <w:rsid w:val="34121BAC"/>
    <w:rsid w:val="348346E6"/>
    <w:rsid w:val="348E7F12"/>
    <w:rsid w:val="35B92EB0"/>
    <w:rsid w:val="36585CBC"/>
    <w:rsid w:val="36E10A24"/>
    <w:rsid w:val="3A045A6B"/>
    <w:rsid w:val="3A542ACC"/>
    <w:rsid w:val="3ABF1760"/>
    <w:rsid w:val="3C5E63A4"/>
    <w:rsid w:val="3DA6127B"/>
    <w:rsid w:val="3DEB6E30"/>
    <w:rsid w:val="3E2B5E06"/>
    <w:rsid w:val="40764144"/>
    <w:rsid w:val="410B44C7"/>
    <w:rsid w:val="43EA5F2F"/>
    <w:rsid w:val="442711AA"/>
    <w:rsid w:val="45AF0AD2"/>
    <w:rsid w:val="464451C0"/>
    <w:rsid w:val="475B461D"/>
    <w:rsid w:val="498B526A"/>
    <w:rsid w:val="4A527F2C"/>
    <w:rsid w:val="4AA4627F"/>
    <w:rsid w:val="4ADC76DB"/>
    <w:rsid w:val="4CA81950"/>
    <w:rsid w:val="4D4E77F2"/>
    <w:rsid w:val="4E931B10"/>
    <w:rsid w:val="4FD73045"/>
    <w:rsid w:val="51C771E3"/>
    <w:rsid w:val="51F9487C"/>
    <w:rsid w:val="52EE746C"/>
    <w:rsid w:val="5452446D"/>
    <w:rsid w:val="563C7D3B"/>
    <w:rsid w:val="567A4548"/>
    <w:rsid w:val="576F688D"/>
    <w:rsid w:val="57C048D3"/>
    <w:rsid w:val="5826783E"/>
    <w:rsid w:val="58926505"/>
    <w:rsid w:val="58C6092D"/>
    <w:rsid w:val="58F34817"/>
    <w:rsid w:val="591C6583"/>
    <w:rsid w:val="594D1214"/>
    <w:rsid w:val="59AB3574"/>
    <w:rsid w:val="5BDA755D"/>
    <w:rsid w:val="5DDC6E97"/>
    <w:rsid w:val="607225C9"/>
    <w:rsid w:val="60895369"/>
    <w:rsid w:val="608A480A"/>
    <w:rsid w:val="608B6872"/>
    <w:rsid w:val="61FA2450"/>
    <w:rsid w:val="624F31B6"/>
    <w:rsid w:val="626F460D"/>
    <w:rsid w:val="62737F03"/>
    <w:rsid w:val="62BD7680"/>
    <w:rsid w:val="633B3EA0"/>
    <w:rsid w:val="63B80222"/>
    <w:rsid w:val="64BB3B0A"/>
    <w:rsid w:val="65173864"/>
    <w:rsid w:val="67074C35"/>
    <w:rsid w:val="676806CC"/>
    <w:rsid w:val="67B86FD5"/>
    <w:rsid w:val="68CC736B"/>
    <w:rsid w:val="69A05A18"/>
    <w:rsid w:val="6A685AB4"/>
    <w:rsid w:val="6AB4227F"/>
    <w:rsid w:val="6B3B6611"/>
    <w:rsid w:val="6B5251F4"/>
    <w:rsid w:val="6B6C7258"/>
    <w:rsid w:val="6BA7011A"/>
    <w:rsid w:val="6C703214"/>
    <w:rsid w:val="6DFB560B"/>
    <w:rsid w:val="6F17421F"/>
    <w:rsid w:val="6F7B3153"/>
    <w:rsid w:val="6F975B11"/>
    <w:rsid w:val="71E561F0"/>
    <w:rsid w:val="73587C07"/>
    <w:rsid w:val="737F1A45"/>
    <w:rsid w:val="73974732"/>
    <w:rsid w:val="74A64C8E"/>
    <w:rsid w:val="75EA64FF"/>
    <w:rsid w:val="76E353C5"/>
    <w:rsid w:val="77C15694"/>
    <w:rsid w:val="78323E75"/>
    <w:rsid w:val="78F84331"/>
    <w:rsid w:val="79FB6B36"/>
    <w:rsid w:val="7A61311F"/>
    <w:rsid w:val="7A664B08"/>
    <w:rsid w:val="7A962FB0"/>
    <w:rsid w:val="7AA2317C"/>
    <w:rsid w:val="7B965710"/>
    <w:rsid w:val="7CAD3559"/>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4">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qFormat/>
    <w:uiPriority w:val="22"/>
    <w:rPr>
      <w:b/>
      <w:bCs/>
    </w:rPr>
  </w:style>
  <w:style w:type="character" w:styleId="16">
    <w:name w:val="Hyperlink"/>
    <w:basedOn w:val="14"/>
    <w:unhideWhenUsed/>
    <w:qFormat/>
    <w:uiPriority w:val="99"/>
    <w:rPr>
      <w:color w:val="0000FF"/>
      <w:u w:val="single"/>
    </w:rPr>
  </w:style>
  <w:style w:type="character" w:customStyle="1" w:styleId="17">
    <w:name w:val="页脚 Char"/>
    <w:basedOn w:val="14"/>
    <w:link w:val="8"/>
    <w:qFormat/>
    <w:uiPriority w:val="99"/>
    <w:rPr>
      <w:sz w:val="18"/>
      <w:szCs w:val="18"/>
    </w:rPr>
  </w:style>
  <w:style w:type="character" w:customStyle="1" w:styleId="18">
    <w:name w:val="标题 1 Char"/>
    <w:basedOn w:val="14"/>
    <w:link w:val="2"/>
    <w:qFormat/>
    <w:uiPriority w:val="9"/>
    <w:rPr>
      <w:rFonts w:ascii="宋体" w:hAnsi="宋体" w:eastAsia="宋体" w:cs="宋体"/>
      <w:b/>
      <w:bCs/>
      <w:kern w:val="36"/>
      <w:sz w:val="48"/>
      <w:szCs w:val="48"/>
    </w:rPr>
  </w:style>
  <w:style w:type="character" w:customStyle="1" w:styleId="19">
    <w:name w:val="批注框文本 Char"/>
    <w:basedOn w:val="14"/>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1E365C-7CF5-48F9-8B69-62CA4AD23844}">
  <ds:schemaRefs/>
</ds:datastoreItem>
</file>

<file path=docProps/app.xml><?xml version="1.0" encoding="utf-8"?>
<Properties xmlns="http://schemas.openxmlformats.org/officeDocument/2006/extended-properties" xmlns:vt="http://schemas.openxmlformats.org/officeDocument/2006/docPropsVTypes">
  <Template>Normal</Template>
  <Pages>4</Pages>
  <Words>804</Words>
  <Characters>953</Characters>
  <Lines>7</Lines>
  <Paragraphs>2</Paragraphs>
  <TotalTime>8</TotalTime>
  <ScaleCrop>false</ScaleCrop>
  <LinksUpToDate>false</LinksUpToDate>
  <CharactersWithSpaces>973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WPS_1671419067</cp:lastModifiedBy>
  <dcterms:modified xsi:type="dcterms:W3CDTF">2023-03-02T02:27:41Z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FC43CC3B1665406CBDBE37B3F64ACA72</vt:lpwstr>
  </property>
</Properties>
</file>