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jc w:val="cente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338830" cy="3338830"/>
            <wp:effectExtent l="0" t="0" r="13970" b="13970"/>
            <wp:docPr id="2" name="图片 2" descr="白底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白底图"/>
                    <pic:cNvPicPr>
                      <a:picLocks noChangeAspect="1"/>
                    </pic:cNvPicPr>
                  </pic:nvPicPr>
                  <pic:blipFill>
                    <a:blip r:embed="rId6"/>
                    <a:stretch>
                      <a:fillRect/>
                    </a:stretch>
                  </pic:blipFill>
                  <pic:spPr>
                    <a:xfrm>
                      <a:off x="0" y="0"/>
                      <a:ext cx="3338830" cy="3338830"/>
                    </a:xfrm>
                    <a:prstGeom prst="rect">
                      <a:avLst/>
                    </a:prstGeom>
                  </pic:spPr>
                </pic:pic>
              </a:graphicData>
            </a:graphic>
          </wp:inline>
        </w:drawing>
      </w:r>
    </w:p>
    <w:p>
      <w:pPr>
        <w:tabs>
          <w:tab w:val="left" w:pos="7161"/>
        </w:tabs>
        <w:jc w:val="left"/>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807085</wp:posOffset>
                </wp:positionV>
                <wp:extent cx="5291455" cy="3810"/>
                <wp:effectExtent l="0" t="0" r="0" b="0"/>
                <wp:wrapNone/>
                <wp:docPr id="1" name="直接连接符 1"/>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1pt;margin-top:63.55pt;height:0.3pt;width:416.65pt;z-index:-251655168;mso-width-relative:page;mso-height-relative:page;" filled="f" stroked="t" coordsize="21600,21600" o:gfxdata="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jiijdUAAAAJAQAADwAAAAAAAAABACAAAAAiAAAAZHJzL2Rvd25yZXYueG1sUEsBAhQA&#10;FAAAAAgAh07iQE83ptP1AQAAvwMAAA4AAAAAAAAAAQAgAAAAJAEAAGRycy9lMm9Eb2MueG1sUEsF&#10;BgAAAAAGAAYAWQEAAIs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0288" behindDoc="0" locked="0" layoutInCell="1" allowOverlap="1">
                <wp:simplePos x="0" y="0"/>
                <wp:positionH relativeFrom="column">
                  <wp:posOffset>1740535</wp:posOffset>
                </wp:positionH>
                <wp:positionV relativeFrom="paragraph">
                  <wp:posOffset>19050</wp:posOffset>
                </wp:positionV>
                <wp:extent cx="1828800" cy="48450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84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HPT-8</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定量氮吹浓缩仪</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7.05pt;margin-top:1.5pt;height:38.15pt;width:144pt;mso-wrap-distance-bottom:0pt;mso-wrap-distance-top:0pt;mso-wrap-style:none;z-index:251660288;mso-width-relative:page;mso-height-relative:page;" filled="f" stroked="f" coordsize="21600,21600" o:gfxdata="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J8BH9oAAAAIAQAADwAAAAAAAAABACAAAAAiAAAAZHJzL2Rv&#10;d25yZXYueG1sUEsBAhQAFAAAAAgAh07iQECiDK04AgAAZAQAAA4AAAAAAAAAAQAgAAAAKQEAAGRy&#10;cy9lMm9Eb2MueG1sUEsFBgAAAAAGAAYAWQEAANMFAAAAAA==&#10;">
                <v:fill on="f" focussize="0,0"/>
                <v:stroke on="f" weight="0.5pt"/>
                <v:imagedata o:title=""/>
                <o:lock v:ext="edit" aspectratio="f"/>
                <v:textbox>
                  <w:txbxContent>
                    <w:p>
                      <w:pPr>
                        <w:tabs>
                          <w:tab w:val="left" w:pos="7161"/>
                        </w:tabs>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HPT-8</w:t>
                      </w: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定量氮吹浓缩仪</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shd w:val="clear" w:color="auto" w:fill="FFFFFF"/>
        <w:spacing w:line="360" w:lineRule="auto"/>
        <w:ind w:firstLine="480" w:firstLineChars="200"/>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全自动定量氮吹浓缩仪利用氮气的快速流动打破液体上空的气液平衡，从而使液体挥发速度加快；并通过干式加热或水浴加热方式升高温度，从而达到了浓缩的目的。氮气还是一种不活泼的气体，也能起到隔绝氧气的作用，防止氧化。将氮气快速、连续、可主要应用领域：农残分析、环境分析、食品饮料、生物分析、制药药检</w:t>
      </w:r>
      <w:r>
        <w:rPr>
          <w:rFonts w:hint="eastAsia" w:ascii="宋体" w:hAnsi="宋体" w:cs="宋体"/>
          <w:color w:val="2F5597" w:themeColor="accent1" w:themeShade="BF"/>
          <w:sz w:val="24"/>
          <w:szCs w:val="24"/>
          <w:lang w:eastAsia="zh-CN"/>
        </w:rPr>
        <w:t>。</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318135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5.05pt;height:0.3pt;width:416.65pt;z-index:-251657216;mso-width-relative:page;mso-height-relative:page;" filled="f" stroked="t" coordsize="21600,21600" o:gfxdata="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wFSO7VAAAACAEAAA8AAAAAAAAAAQAgAAAAIgAAAGRycy9kb3ducmV2LnhtbFBLAQIU&#10;ABQAAAAIAIdO4kCQFeky9gEAAL8DAAAOAAAAAAAAAAEAIAAAACQ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22"/>
        <w:widowControl/>
        <w:numPr>
          <w:ilvl w:val="0"/>
          <w:numId w:val="1"/>
        </w:numPr>
        <w:spacing w:line="276" w:lineRule="auto"/>
        <w:ind w:left="420" w:leftChars="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氮气吹扫通道独立控制</w:t>
      </w:r>
    </w:p>
    <w:p>
      <w:pPr>
        <w:pStyle w:val="22"/>
        <w:numPr>
          <w:ilvl w:val="0"/>
          <w:numId w:val="1"/>
        </w:numPr>
        <w:spacing w:line="276"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双吹气针模式，不同液位自动切换吹气角度，提升浓缩效率。</w:t>
      </w:r>
    </w:p>
    <w:p>
      <w:pPr>
        <w:pStyle w:val="22"/>
        <w:numPr>
          <w:ilvl w:val="0"/>
          <w:numId w:val="1"/>
        </w:numPr>
        <w:spacing w:line="276" w:lineRule="auto"/>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自动定量模式，达到浓缩体积后自动停止浓缩。</w:t>
      </w:r>
    </w:p>
    <w:p>
      <w:pPr>
        <w:pStyle w:val="10"/>
        <w:numPr>
          <w:ilvl w:val="0"/>
          <w:numId w:val="1"/>
        </w:numPr>
        <w:spacing w:line="360" w:lineRule="atLeast"/>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可同时浓缩1-8个样品，采用氮吹、水浴加热的方式对样品进行快速浓缩。</w:t>
      </w:r>
    </w:p>
    <w:p>
      <w:pPr>
        <w:pStyle w:val="10"/>
        <w:numPr>
          <w:ilvl w:val="0"/>
          <w:numId w:val="1"/>
        </w:numPr>
        <w:spacing w:line="360" w:lineRule="atLeast"/>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7寸LCD触摸屏智能图形化操作界面设计，实时显示温度、压力、时间等参数。</w:t>
      </w:r>
    </w:p>
    <w:p>
      <w:pPr>
        <w:pStyle w:val="10"/>
        <w:numPr>
          <w:ilvl w:val="0"/>
          <w:numId w:val="1"/>
        </w:numPr>
        <w:spacing w:line="360" w:lineRule="atLeast"/>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独特双吹针设计，先采用斜吹模式涡旋吹扫，接近浓缩终点时自动切换为直吹模式，加快浓缩速度。</w:t>
      </w:r>
    </w:p>
    <w:p>
      <w:pPr>
        <w:pStyle w:val="10"/>
        <w:numPr>
          <w:ilvl w:val="0"/>
          <w:numId w:val="1"/>
        </w:numPr>
        <w:spacing w:line="360" w:lineRule="atLeast"/>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开盖悬停设计，上盖可以悬停在任意位置，取样方便、安全。</w:t>
      </w:r>
    </w:p>
    <w:p>
      <w:pPr>
        <w:pStyle w:val="10"/>
        <w:numPr>
          <w:ilvl w:val="0"/>
          <w:numId w:val="1"/>
        </w:numPr>
        <w:spacing w:line="360" w:lineRule="atLeast"/>
        <w:ind w:left="420" w:leftChars="0" w:hanging="420" w:firstLineChars="0"/>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可拆卸式气嘴：每个气嘴都可独立拆卸、更换。</w:t>
      </w:r>
    </w:p>
    <w:p>
      <w:pPr>
        <w:pStyle w:val="10"/>
        <w:numPr>
          <w:ilvl w:val="0"/>
          <w:numId w:val="1"/>
        </w:numPr>
        <w:spacing w:line="360" w:lineRule="atLeast"/>
        <w:ind w:left="420" w:leftChars="0" w:hanging="420" w:firstLineChars="0"/>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cs="宋体"/>
          <w:color w:val="2F5597" w:themeColor="accent1" w:themeShade="BF"/>
          <w:kern w:val="2"/>
          <w:sz w:val="24"/>
          <w:szCs w:val="24"/>
          <w:lang w:val="en-US" w:eastAsia="zh-CN" w:bidi="ar-SA"/>
        </w:rPr>
        <w:t>浓缩体积：样品处理量≥200ml</w:t>
      </w: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697"/>
        <w:gridCol w:w="582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型号</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HPT-8</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货号</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1007010001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模式</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三种模式可操作（定时模式、定量模式、蒸干模式）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升温方式</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PID控温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样品处理能力</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可同时浓缩1-8位样品</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样品体积</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lang w:val="en-US" w:eastAsia="zh-CN"/>
              </w:rPr>
              <w:t>≤</w:t>
            </w:r>
            <w:bookmarkStart w:id="0" w:name="_GoBack"/>
            <w:bookmarkEnd w:id="0"/>
            <w:r>
              <w:rPr>
                <w:rFonts w:hint="eastAsia" w:ascii="宋体" w:hAnsi="宋体" w:cs="宋体"/>
                <w:color w:val="2F5597" w:themeColor="accent1" w:themeShade="BF"/>
                <w:sz w:val="24"/>
                <w:szCs w:val="24"/>
              </w:rPr>
              <w:t>200mL（带0.5mL＆1.0定量刻度）</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水浴槽容量</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8.0L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控制方式</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7</w:t>
            </w:r>
            <w:r>
              <w:rPr>
                <w:rFonts w:hint="eastAsia" w:ascii="宋体" w:hAnsi="宋体" w:cs="宋体"/>
                <w:color w:val="2F5597" w:themeColor="accent1" w:themeShade="BF"/>
                <w:sz w:val="24"/>
                <w:szCs w:val="24"/>
                <w:lang w:val="en-US" w:eastAsia="zh-CN"/>
              </w:rPr>
              <w:t>寸</w:t>
            </w:r>
            <w:r>
              <w:rPr>
                <w:rFonts w:hint="eastAsia" w:ascii="宋体" w:hAnsi="宋体" w:cs="宋体"/>
                <w:color w:val="2F5597" w:themeColor="accent1" w:themeShade="BF"/>
                <w:sz w:val="24"/>
                <w:szCs w:val="24"/>
              </w:rPr>
              <w:t>液晶触控屏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开盖悬停功能</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rPr>
              <w:t>灯光控制</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rPr>
              <w:t>独立的灯光控制（可实现避光浓缩）</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蜂鸣器报警</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单个样品及全部样品完成后均有蜂鸣报警提示</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rPr>
              <w:t>气压调节（Mpa）                 （Mpa）</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rPr>
              <w:t>0-0.4</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气压操作方式</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独立控制</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温度控制 （℃）                  （℃）</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室温-90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控温精度 （℃）                  （℃）</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加热方式</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水浴加热</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外部供给氮气气压范围</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≤80Psi</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过热保护装置</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吹针角度调节</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气嘴安装方式</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可拆卸式气嘴，每个气嘴都可独立拆卸、更换</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内置排气系统</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仪器内置风扇引导废气排放，无需占用通风橱空间。</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869"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仪器材质</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不锈钢材料或耐化学试剂塑料，能经受实验室特殊环境长时间考验</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支持耐腐蚀涂层定制</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接触试剂部分器件支持特氟龙涂层非标定制</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计时功能</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有</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功率</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600W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2697"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工作电压</w:t>
            </w:r>
          </w:p>
        </w:tc>
        <w:tc>
          <w:tcPr>
            <w:tcW w:w="5825"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220 VAC ±10% 50Hz</w:t>
            </w:r>
          </w:p>
        </w:tc>
      </w:tr>
    </w:tbl>
    <w:p>
      <w:pPr>
        <w:widowControl/>
        <w:jc w:val="both"/>
        <w:textAlignment w:val="center"/>
        <w:rPr>
          <w:rFonts w:ascii="宋体" w:hAnsi="宋体" w:cs="宋体"/>
          <w:color w:val="2F5597" w:themeColor="accent1" w:themeShade="BF"/>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0"/>
        <w:textAlignment w:val="auto"/>
        <w:outlineLvl w:val="9"/>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pP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4</w:t>
      </w:r>
      <w:r>
        <w:rPr>
          <w:rFonts w:hint="eastAsia" w:ascii="宋体" w:hAnsi="宋体" w:eastAsia="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w:t>
      </w:r>
      <w:r>
        <w:rPr>
          <w:rFonts w:hint="eastAsia" w:ascii="宋体" w:hAnsi="宋体" w:cs="Times New Roman"/>
          <w:b/>
          <w:color w:val="2F5597" w:themeColor="accent1" w:themeShade="BF"/>
          <w:sz w:val="24"/>
          <w:szCs w:val="24"/>
          <w:lang w:val="en-US" w:eastAsia="zh-CN"/>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props3d w14:extrusionH="0" w14:contourW="0" w14:prstMaterial="clear"/>
        </w:rPr>
        <w:t>装箱清单</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981"/>
        <w:gridCol w:w="354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名称</w:t>
            </w:r>
          </w:p>
        </w:tc>
        <w:tc>
          <w:tcPr>
            <w:tcW w:w="3541"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程序升压控制系统</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液位传感器控制系统</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16路气路独立控制系统</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吹针组件</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可拆卸式气嘴</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8位浓缩杯架组件</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水浴加热系统</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双面可视玻璃视窗</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终点自动切断氮气蜂鸣提醒控制系统</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top"/>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主动风扇废气引导系统</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250mL浓缩杯架</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250mL带尾管浓缩杯</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8套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氮气管路</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排水管</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电源线</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98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安装使用文件</w:t>
            </w:r>
          </w:p>
        </w:tc>
        <w:tc>
          <w:tcPr>
            <w:tcW w:w="3541" w:type="dxa"/>
            <w:tcBorders>
              <w:tl2br w:val="nil"/>
              <w:tr2bl w:val="nil"/>
            </w:tcBorders>
            <w:shd w:val="clear" w:color="auto" w:fill="auto"/>
            <w:vAlign w:val="center"/>
          </w:tcPr>
          <w:p>
            <w:pPr>
              <w:widowControl/>
              <w:spacing w:line="360" w:lineRule="auto"/>
              <w:jc w:val="center"/>
              <w:textAlignment w:val="center"/>
              <w:rPr>
                <w:rFonts w:hint="eastAsia" w:ascii="宋体" w:hAnsi="宋体" w:cs="宋体"/>
                <w:color w:val="2F5597" w:themeColor="accent1" w:themeShade="BF"/>
                <w:sz w:val="24"/>
                <w:szCs w:val="24"/>
                <w:lang w:val="en-US" w:eastAsia="zh-CN"/>
              </w:rPr>
            </w:pPr>
            <w:r>
              <w:rPr>
                <w:rFonts w:hint="eastAsia" w:ascii="宋体" w:hAnsi="宋体" w:cs="宋体"/>
                <w:color w:val="2F5597" w:themeColor="accent1" w:themeShade="BF"/>
                <w:sz w:val="24"/>
                <w:szCs w:val="24"/>
                <w:lang w:val="en-US" w:eastAsia="zh-CN"/>
              </w:rPr>
              <w:t>1套</w:t>
            </w:r>
          </w:p>
        </w:tc>
      </w:tr>
    </w:tbl>
    <w:p>
      <w:pPr>
        <w:widowControl/>
        <w:jc w:val="both"/>
        <w:textAlignment w:val="center"/>
        <w:rPr>
          <w:rFonts w:ascii="宋体" w:hAnsi="宋体" w:cs="宋体"/>
          <w:color w:val="2F5597" w:themeColor="accent1" w:themeShade="BF"/>
          <w:sz w:val="24"/>
          <w:szCs w:val="24"/>
        </w:rPr>
      </w:pPr>
    </w:p>
    <w:p>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举例：农残分析实验</w:t>
      </w:r>
    </w:p>
    <w:p>
      <w:pPr>
        <w:pStyle w:val="10"/>
        <w:spacing w:line="360" w:lineRule="atLeast"/>
        <w:rPr>
          <w:rFonts w:ascii="宋体" w:hAnsi="宋体" w:cs="宋体"/>
          <w:color w:val="2F5597" w:themeColor="accent1" w:themeShade="BF"/>
          <w:sz w:val="24"/>
          <w:szCs w:val="24"/>
        </w:rPr>
      </w:pPr>
      <w:r>
        <w:rPr>
          <w:rFonts w:hint="eastAsia" w:cs="宋体"/>
          <w:color w:val="2F5597" w:themeColor="accent1" w:themeShade="BF"/>
          <w:kern w:val="2"/>
          <w:sz w:val="24"/>
          <w:szCs w:val="24"/>
          <w:lang w:val="en-US" w:eastAsia="zh-CN" w:bidi="ar-SA"/>
        </w:rPr>
        <w:t xml:space="preserve">    </w:t>
      </w:r>
      <w:r>
        <w:rPr>
          <w:rFonts w:hint="eastAsia" w:ascii="宋体" w:hAnsi="宋体" w:eastAsia="宋体" w:cs="宋体"/>
          <w:color w:val="2F5597" w:themeColor="accent1" w:themeShade="BF"/>
          <w:kern w:val="2"/>
          <w:sz w:val="24"/>
          <w:szCs w:val="24"/>
          <w:lang w:val="en-US" w:eastAsia="zh-CN" w:bidi="ar-SA"/>
        </w:rPr>
        <w:t>从样品中提取出来的带有农药残留的溶液，一般浓度是很低的，在下一步净化或检测前，必须对提取液浓缩，以减少其体积、增加农药的浓度，利于进行净化步骤。在浓缩过程中，应注意防止农药的损失，特别是蒸气压高、稳定性差的农药。在农药残留分析各个操作步骤中，以浓缩对农药的损失最大。因此不能使用一般的蒸馏法。但是不论使用何种方法浓缩，不可将溶剂蒸干，蒸干时农药最易损失。通常在浓缩时，在提取液中添加不干扰分析的抑制蒸发剂一缩二乙二醇等以防止溶剂蒸干而农药损失。常用的浓缩方法为氮气吹干法。</w:t>
      </w: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968375" cy="968375"/>
          <wp:effectExtent l="0" t="0" r="3175" b="3175"/>
          <wp:docPr id="3" name="图片 3" descr="logo（800x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800x800）"/>
                  <pic:cNvPicPr>
                    <a:picLocks noChangeAspect="1"/>
                  </pic:cNvPicPr>
                </pic:nvPicPr>
                <pic:blipFill>
                  <a:blip r:embed="rId1"/>
                  <a:stretch>
                    <a:fillRect/>
                  </a:stretch>
                </pic:blipFill>
                <pic:spPr>
                  <a:xfrm>
                    <a:off x="0" y="0"/>
                    <a:ext cx="968375" cy="968375"/>
                  </a:xfrm>
                  <a:prstGeom prst="rect">
                    <a:avLst/>
                  </a:prstGeom>
                </pic:spPr>
              </pic:pic>
            </a:graphicData>
          </a:graphic>
        </wp:inline>
      </w:drawing>
    </w:r>
  </w:p>
  <w:p>
    <w:pPr>
      <w:pStyle w:val="9"/>
      <w:pBdr>
        <w:bottom w:val="none" w:color="auto" w:sz="0" w:space="1"/>
      </w:pBdr>
      <w:tabs>
        <w:tab w:val="center" w:pos="4153"/>
        <w:tab w:val="right" w:pos="8306"/>
      </w:tabs>
      <w:rPr>
        <w:b/>
        <w:color w:val="203864" w:themeColor="accent1" w:themeShade="80"/>
        <w:sz w:val="30"/>
        <w:szCs w:val="30"/>
      </w:rPr>
    </w:pPr>
    <w:r>
      <w:rPr>
        <w:rFonts w:hint="eastAsia"/>
        <w:b/>
        <w:color w:val="203864" w:themeColor="accent1" w:themeShade="80"/>
        <w:sz w:val="30"/>
        <w:szCs w:val="30"/>
      </w:rPr>
      <w:t xml:space="preserve"> 上海沪析实业有限公司</w:t>
    </w:r>
  </w:p>
  <w:p>
    <w:pPr>
      <w:pStyle w:val="9"/>
      <w:pBdr>
        <w:bottom w:val="none" w:color="auto" w:sz="0" w:space="1"/>
      </w:pBdr>
      <w:tabs>
        <w:tab w:val="center" w:pos="4153"/>
        <w:tab w:val="right" w:pos="8306"/>
      </w:tabs>
      <w:ind w:firstLine="2530" w:firstLineChars="1400"/>
      <w:jc w:val="both"/>
      <w:rPr>
        <w:b/>
        <w:color w:val="203864" w:themeColor="accent1" w:themeShade="80"/>
      </w:rPr>
    </w:pPr>
    <w:r>
      <w:rPr>
        <w:rFonts w:hint="eastAsia"/>
        <w:b/>
        <w:bCs/>
        <w:color w:val="203864" w:themeColor="accent1" w:themeShade="80"/>
        <w:kern w:val="0"/>
      </w:rPr>
      <w:t xml:space="preserve">SHANGHAI HUXI INDUSTRIAL </w:t>
    </w:r>
    <w:r>
      <w:rPr>
        <w:b/>
        <w:bCs/>
        <w:color w:val="203864" w:themeColor="accent1" w:themeShade="80"/>
        <w:kern w:val="0"/>
      </w:rPr>
      <w:t>CO.,LTD.</w:t>
    </w:r>
  </w:p>
  <w:p>
    <w:pPr>
      <w:jc w:val="center"/>
      <w:rPr>
        <w:sz w:val="24"/>
        <w:szCs w:val="24"/>
      </w:rPr>
    </w:pPr>
  </w:p>
  <w:p>
    <w:pPr>
      <w:pBdr>
        <w:bottom w:val="dotDash" w:color="003366" w:sz="4"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0FECF"/>
    <w:multiLevelType w:val="singleLevel"/>
    <w:tmpl w:val="62D0FECF"/>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676A9"/>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62839"/>
    <w:rsid w:val="0098299C"/>
    <w:rsid w:val="00990FAD"/>
    <w:rsid w:val="009E7CF6"/>
    <w:rsid w:val="00A4672B"/>
    <w:rsid w:val="00A54FD0"/>
    <w:rsid w:val="00A94E0D"/>
    <w:rsid w:val="00AA4A1B"/>
    <w:rsid w:val="00AA5CBF"/>
    <w:rsid w:val="00B61697"/>
    <w:rsid w:val="00B839ED"/>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45253"/>
    <w:rsid w:val="07553E41"/>
    <w:rsid w:val="076B772C"/>
    <w:rsid w:val="08B63A8A"/>
    <w:rsid w:val="091F1204"/>
    <w:rsid w:val="0A184A29"/>
    <w:rsid w:val="0A366F57"/>
    <w:rsid w:val="0A965B96"/>
    <w:rsid w:val="0F713A9B"/>
    <w:rsid w:val="10317FE5"/>
    <w:rsid w:val="10C02CE0"/>
    <w:rsid w:val="10E60B82"/>
    <w:rsid w:val="11385EB2"/>
    <w:rsid w:val="117D1E52"/>
    <w:rsid w:val="124B785D"/>
    <w:rsid w:val="12F323D9"/>
    <w:rsid w:val="131D301F"/>
    <w:rsid w:val="13377D20"/>
    <w:rsid w:val="13840885"/>
    <w:rsid w:val="162626F1"/>
    <w:rsid w:val="163338FF"/>
    <w:rsid w:val="167836D1"/>
    <w:rsid w:val="16855545"/>
    <w:rsid w:val="16A71820"/>
    <w:rsid w:val="18711AC3"/>
    <w:rsid w:val="1886336C"/>
    <w:rsid w:val="1976192B"/>
    <w:rsid w:val="1A4C7833"/>
    <w:rsid w:val="1AB80B3F"/>
    <w:rsid w:val="1B871C86"/>
    <w:rsid w:val="1C4A28F1"/>
    <w:rsid w:val="1C8D4EFF"/>
    <w:rsid w:val="1E2113C8"/>
    <w:rsid w:val="1E486378"/>
    <w:rsid w:val="1F995798"/>
    <w:rsid w:val="2130429D"/>
    <w:rsid w:val="2159429D"/>
    <w:rsid w:val="216A23E2"/>
    <w:rsid w:val="218B498B"/>
    <w:rsid w:val="22E601DB"/>
    <w:rsid w:val="23243285"/>
    <w:rsid w:val="241D3C4F"/>
    <w:rsid w:val="246A0583"/>
    <w:rsid w:val="24902584"/>
    <w:rsid w:val="24AE6CFC"/>
    <w:rsid w:val="24E06592"/>
    <w:rsid w:val="251F36D0"/>
    <w:rsid w:val="295A600F"/>
    <w:rsid w:val="2A602115"/>
    <w:rsid w:val="2A847618"/>
    <w:rsid w:val="2AC31D90"/>
    <w:rsid w:val="2BE36FED"/>
    <w:rsid w:val="2C2B4AD0"/>
    <w:rsid w:val="2C936415"/>
    <w:rsid w:val="2CA365BC"/>
    <w:rsid w:val="2CA92BAC"/>
    <w:rsid w:val="2CBC35B2"/>
    <w:rsid w:val="2D270418"/>
    <w:rsid w:val="2D9E504D"/>
    <w:rsid w:val="2DBB4423"/>
    <w:rsid w:val="2E5E5B1C"/>
    <w:rsid w:val="30667F5E"/>
    <w:rsid w:val="32494755"/>
    <w:rsid w:val="34121BAC"/>
    <w:rsid w:val="348346E6"/>
    <w:rsid w:val="348E7F12"/>
    <w:rsid w:val="35B92EB0"/>
    <w:rsid w:val="36585CBC"/>
    <w:rsid w:val="366A26FC"/>
    <w:rsid w:val="36E10A24"/>
    <w:rsid w:val="3A045A6B"/>
    <w:rsid w:val="3A542ACC"/>
    <w:rsid w:val="3ABF1760"/>
    <w:rsid w:val="3BDA4C8E"/>
    <w:rsid w:val="3C5E63A4"/>
    <w:rsid w:val="3DA6127B"/>
    <w:rsid w:val="3DEB6E30"/>
    <w:rsid w:val="3E2B5E06"/>
    <w:rsid w:val="40764144"/>
    <w:rsid w:val="410B44C7"/>
    <w:rsid w:val="41FE0E1C"/>
    <w:rsid w:val="43EA5F2F"/>
    <w:rsid w:val="442711AA"/>
    <w:rsid w:val="465C2739"/>
    <w:rsid w:val="498B526A"/>
    <w:rsid w:val="4A527F2C"/>
    <w:rsid w:val="4AA4627F"/>
    <w:rsid w:val="4ADC76DB"/>
    <w:rsid w:val="4CA81950"/>
    <w:rsid w:val="4D4E77F2"/>
    <w:rsid w:val="4E931B10"/>
    <w:rsid w:val="4FD73045"/>
    <w:rsid w:val="509612E7"/>
    <w:rsid w:val="51C771E3"/>
    <w:rsid w:val="51EA6575"/>
    <w:rsid w:val="51F9487C"/>
    <w:rsid w:val="52EE746C"/>
    <w:rsid w:val="5452446D"/>
    <w:rsid w:val="56134D70"/>
    <w:rsid w:val="563C7D3B"/>
    <w:rsid w:val="567A4548"/>
    <w:rsid w:val="576F688D"/>
    <w:rsid w:val="57A13F3F"/>
    <w:rsid w:val="5826783E"/>
    <w:rsid w:val="58926505"/>
    <w:rsid w:val="58C6092D"/>
    <w:rsid w:val="58F34817"/>
    <w:rsid w:val="591C6583"/>
    <w:rsid w:val="594D1214"/>
    <w:rsid w:val="59AB3574"/>
    <w:rsid w:val="5AE778CD"/>
    <w:rsid w:val="5BDA755D"/>
    <w:rsid w:val="5DDC6E97"/>
    <w:rsid w:val="607225C9"/>
    <w:rsid w:val="608B6872"/>
    <w:rsid w:val="61FA2450"/>
    <w:rsid w:val="624F31B6"/>
    <w:rsid w:val="626F460D"/>
    <w:rsid w:val="62737F03"/>
    <w:rsid w:val="62BD7680"/>
    <w:rsid w:val="63B80222"/>
    <w:rsid w:val="64BB3B0A"/>
    <w:rsid w:val="65173864"/>
    <w:rsid w:val="66F3218F"/>
    <w:rsid w:val="67074C35"/>
    <w:rsid w:val="67B86FD5"/>
    <w:rsid w:val="68CC736B"/>
    <w:rsid w:val="69A05A18"/>
    <w:rsid w:val="6A124ED5"/>
    <w:rsid w:val="6AB4227F"/>
    <w:rsid w:val="6B3B6611"/>
    <w:rsid w:val="6B5251F4"/>
    <w:rsid w:val="6B6C7258"/>
    <w:rsid w:val="6BA7011A"/>
    <w:rsid w:val="6C672FEF"/>
    <w:rsid w:val="6DFB560B"/>
    <w:rsid w:val="6E58347A"/>
    <w:rsid w:val="6EC94F63"/>
    <w:rsid w:val="6F17421F"/>
    <w:rsid w:val="6F7B3153"/>
    <w:rsid w:val="6F975B11"/>
    <w:rsid w:val="71765AE0"/>
    <w:rsid w:val="71E561F0"/>
    <w:rsid w:val="73587C07"/>
    <w:rsid w:val="737F1A45"/>
    <w:rsid w:val="73974732"/>
    <w:rsid w:val="74A64C8E"/>
    <w:rsid w:val="75EA64FF"/>
    <w:rsid w:val="762F1222"/>
    <w:rsid w:val="76E353C5"/>
    <w:rsid w:val="77C15694"/>
    <w:rsid w:val="78323E75"/>
    <w:rsid w:val="78F84331"/>
    <w:rsid w:val="79FB6B36"/>
    <w:rsid w:val="7A61311F"/>
    <w:rsid w:val="7A664B08"/>
    <w:rsid w:val="7AA2317C"/>
    <w:rsid w:val="7B965710"/>
    <w:rsid w:val="7CAD3559"/>
    <w:rsid w:val="7D806002"/>
    <w:rsid w:val="7EA15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7">
    <w:name w:val="Balloon Text"/>
    <w:basedOn w:val="1"/>
    <w:link w:val="19"/>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qFormat/>
    <w:uiPriority w:val="99"/>
    <w:rPr>
      <w:sz w:val="18"/>
      <w:szCs w:val="18"/>
    </w:rPr>
  </w:style>
  <w:style w:type="character" w:customStyle="1" w:styleId="18">
    <w:name w:val="标题 1 Char"/>
    <w:basedOn w:val="14"/>
    <w:link w:val="2"/>
    <w:qFormat/>
    <w:uiPriority w:val="9"/>
    <w:rPr>
      <w:rFonts w:ascii="宋体" w:hAnsi="宋体" w:eastAsia="宋体" w:cs="宋体"/>
      <w:b/>
      <w:bCs/>
      <w:kern w:val="36"/>
      <w:sz w:val="48"/>
      <w:szCs w:val="48"/>
    </w:rPr>
  </w:style>
  <w:style w:type="character" w:customStyle="1" w:styleId="19">
    <w:name w:val="批注框文本 Char"/>
    <w:basedOn w:val="14"/>
    <w:link w:val="7"/>
    <w:semiHidden/>
    <w:qFormat/>
    <w:uiPriority w:val="99"/>
    <w:rPr>
      <w:kern w:val="2"/>
      <w:sz w:val="18"/>
      <w:szCs w:val="18"/>
    </w:rPr>
  </w:style>
  <w:style w:type="paragraph" w:customStyle="1" w:styleId="20">
    <w:name w:val="样式1"/>
    <w:basedOn w:val="1"/>
    <w:next w:val="8"/>
    <w:qFormat/>
    <w:uiPriority w:val="0"/>
    <w:pPr>
      <w:jc w:val="center"/>
    </w:pPr>
  </w:style>
  <w:style w:type="paragraph" w:customStyle="1" w:styleId="21">
    <w:name w:val="列出段落1"/>
    <w:basedOn w:val="1"/>
    <w:qFormat/>
    <w:uiPriority w:val="34"/>
    <w:pPr>
      <w:ind w:firstLine="420" w:firstLineChars="200"/>
    </w:pPr>
  </w:style>
  <w:style w:type="paragraph" w:customStyle="1"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842E75-1F1C-46A8-903F-5C12F0D2746A}">
  <ds:schemaRefs/>
</ds:datastoreItem>
</file>

<file path=docProps/app.xml><?xml version="1.0" encoding="utf-8"?>
<Properties xmlns="http://schemas.openxmlformats.org/officeDocument/2006/extended-properties" xmlns:vt="http://schemas.openxmlformats.org/officeDocument/2006/docPropsVTypes">
  <Template>Normal</Template>
  <Pages>4</Pages>
  <Words>1142</Words>
  <Characters>1217</Characters>
  <Lines>3</Lines>
  <Paragraphs>1</Paragraphs>
  <TotalTime>0</TotalTime>
  <ScaleCrop>false</ScaleCrop>
  <LinksUpToDate>false</LinksUpToDate>
  <CharactersWithSpaces>1279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2023-05-26T06:25:15Z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3E87BC68EE564E6483475154F87D905E_12</vt:lpwstr>
  </property>
</Properties>
</file>