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3805555" cy="3448050"/>
            <wp:effectExtent l="0" t="0" r="4445" b="0"/>
            <wp:docPr id="2" name="图片 2" descr="白底图（JRJ3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底图（JRJ300-SH）"/>
                    <pic:cNvPicPr>
                      <a:picLocks noChangeAspect="1"/>
                    </pic:cNvPicPr>
                  </pic:nvPicPr>
                  <pic:blipFill>
                    <a:blip r:embed="rId6"/>
                    <a:srcRect t="4697" b="4697"/>
                    <a:stretch>
                      <a:fillRect/>
                    </a:stretch>
                  </pic:blipFill>
                  <pic:spPr>
                    <a:xfrm>
                      <a:off x="0" y="0"/>
                      <a:ext cx="3805555" cy="344805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-10795</wp:posOffset>
                </wp:positionH>
                <wp:positionV relativeFrom="paragraph">
                  <wp:posOffset>857250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67.5pt;height:0.3pt;width:415.15pt;z-index:-251655168;mso-width-relative:page;mso-height-relative:page;" filled="f" stroked="t" coordsize="21600,21600" o:gfxdata="UEsDBAoAAAAAAIdO4kAAAAAAAAAAAAAAAAAEAAAAZHJzL1BLAwQUAAAACACHTuJA4W+IW9YAAAAK&#10;AQAADwAAAGRycy9kb3ducmV2LnhtbE2PTUvDQBCG74L/YRnBW7tJxTTEbAoKgnozFfQ4TabZ0Oxs&#10;mt1+/XtHL3qcdx7ej3J1doM60hR6zwbSeQKKuPFtz52Bj/XzLAcVInKLg2cycKEAq+r6qsSi9Sd+&#10;p2MdOyUmHAo0YGMcC61DY8lhmPuRWH5bPzmMck6dbic8ibkb9CJJMu2wZ0mwONKTpWZXH5yBr133&#10;6XFtl/2+fty+vV6weaG9Mbc3afIAKtI5/sHwU1+qQyWdNv7AbVCDgVm6FFL0u3vZJEC+yDNQm18l&#10;A12V+v+E6ht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W+IW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55245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5pt;margin-top:4.35pt;height:144pt;width:144pt;mso-wrap-distance-bottom:0pt;mso-wrap-distance-top:0pt;mso-wrap-style:none;z-index:251662336;mso-width-relative:page;mso-height-relative:page;" filled="f" stroked="f" coordsize="21600,21600" o:gfxdata="UEsDBAoAAAAAAIdO4kAAAAAAAAAAAAAAAAAEAAAAZHJzL1BLAwQUAAAACACHTuJAGFXCkNgAAAAJ&#10;AQAADwAAAGRycy9kb3ducmV2LnhtbE2Pu07DQBBFeyT+YTVIdGTtAE5ivE4RiTSIgoCgHXsntmXv&#10;Q96NY/h6hoqUV2d059xiO5tBTDSGzlkF6SIBQbZ2urONgo/357s1iBDRahycJQXfFGBbXl8VmGt3&#10;tm80HWIjuMSGHBW0MfpcylC3ZDAsnCfL7OhGg5Hj2Eg94pnLzSCXSZJJg53lDy162rVU94eTUfCK&#10;n/s4zX297/1Rfxlf7e5/XpS6vUmTJxCR5vh/DH/6rA4lO1XuZHUQg4JllvKWqGC9AsH88WHDuWKw&#10;yVYgy0JeLih/AV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VcKQ2AAAAAk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运行状态控制器采用无级调速器，数字显示型采用触摸式结构，调速方便，数据正确。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JRJ300-SH</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79"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bookmarkStart w:id="0" w:name="_GoBack"/>
            <w:bookmarkEnd w:id="0"/>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1004002001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200-11000r/min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510W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AC 220 V 50 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额定转矩</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34.1N.cm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5mm²，20mm²，50mm²</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315x200x780mm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585*335*180mm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12.5kg</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立柱</w:t>
            </w:r>
          </w:p>
        </w:tc>
        <w:tc>
          <w:tcPr>
            <w:tcW w:w="4976"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平板</w:t>
            </w:r>
            <w:r>
              <w:rPr>
                <w:rStyle w:val="15"/>
                <w:rFonts w:hint="eastAsia" w:ascii="宋体" w:hAnsi="宋体" w:cs="宋体"/>
                <w:b w:val="0"/>
                <w:color w:val="2F5597" w:themeColor="accent1" w:themeShade="BF"/>
                <w:sz w:val="24"/>
                <w:szCs w:val="24"/>
                <w:shd w:val="clear" w:color="auto" w:fill="FFFFFF"/>
                <w:lang w:val="en-US" w:eastAsia="zh-CN" w:bidi="ar"/>
              </w:rPr>
              <w:t>底座</w:t>
            </w:r>
          </w:p>
        </w:tc>
        <w:tc>
          <w:tcPr>
            <w:tcW w:w="4976"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1块</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方形夹头</w:t>
            </w:r>
          </w:p>
        </w:tc>
        <w:tc>
          <w:tcPr>
            <w:tcW w:w="4976"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电源线</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保修卡合格证</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1本</w:t>
            </w:r>
          </w:p>
        </w:tc>
      </w:tr>
    </w:tbl>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788035" cy="788035"/>
          <wp:effectExtent l="0" t="0" r="12065" b="12065"/>
          <wp:docPr id="1" name="图片 1" descr="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800x800）"/>
                  <pic:cNvPicPr>
                    <a:picLocks noChangeAspect="1"/>
                  </pic:cNvPicPr>
                </pic:nvPicPr>
                <pic:blipFill>
                  <a:blip r:embed="rId1"/>
                  <a:stretch>
                    <a:fillRect/>
                  </a:stretch>
                </pic:blipFill>
                <pic:spPr>
                  <a:xfrm>
                    <a:off x="0" y="0"/>
                    <a:ext cx="788035" cy="788035"/>
                  </a:xfrm>
                  <a:prstGeom prst="rect">
                    <a:avLst/>
                  </a:prstGeom>
                </pic:spPr>
              </pic:pic>
            </a:graphicData>
          </a:graphic>
        </wp:inline>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4B56"/>
    <w:rsid w:val="00955DE4"/>
    <w:rsid w:val="0098299C"/>
    <w:rsid w:val="00990FAD"/>
    <w:rsid w:val="009E7CF6"/>
    <w:rsid w:val="00A4672B"/>
    <w:rsid w:val="00A94E0D"/>
    <w:rsid w:val="00AA4A1B"/>
    <w:rsid w:val="00AA5CBF"/>
    <w:rsid w:val="00B61697"/>
    <w:rsid w:val="00B839ED"/>
    <w:rsid w:val="00BB493D"/>
    <w:rsid w:val="00BD42F1"/>
    <w:rsid w:val="00C47428"/>
    <w:rsid w:val="00C83139"/>
    <w:rsid w:val="00C87D9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4F11A3B"/>
    <w:rsid w:val="0692734F"/>
    <w:rsid w:val="07553E41"/>
    <w:rsid w:val="07A048C3"/>
    <w:rsid w:val="091F1204"/>
    <w:rsid w:val="0A184A29"/>
    <w:rsid w:val="0A366F57"/>
    <w:rsid w:val="0A965B96"/>
    <w:rsid w:val="0E7E71D5"/>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0B8293F"/>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25D719A"/>
    <w:rsid w:val="34121BAC"/>
    <w:rsid w:val="348346E6"/>
    <w:rsid w:val="348E7F12"/>
    <w:rsid w:val="35B92EB0"/>
    <w:rsid w:val="36585CBC"/>
    <w:rsid w:val="36E10A24"/>
    <w:rsid w:val="377E28AC"/>
    <w:rsid w:val="3A045A6B"/>
    <w:rsid w:val="3A542ACC"/>
    <w:rsid w:val="3ABF1760"/>
    <w:rsid w:val="3C5E63A4"/>
    <w:rsid w:val="3DA6127B"/>
    <w:rsid w:val="3DEB6E30"/>
    <w:rsid w:val="3E2B5E06"/>
    <w:rsid w:val="40764144"/>
    <w:rsid w:val="410B44C7"/>
    <w:rsid w:val="43C76301"/>
    <w:rsid w:val="43EA5F2F"/>
    <w:rsid w:val="442711AA"/>
    <w:rsid w:val="498B526A"/>
    <w:rsid w:val="4A527F2C"/>
    <w:rsid w:val="4AA4627F"/>
    <w:rsid w:val="4ADC76DB"/>
    <w:rsid w:val="4CA81950"/>
    <w:rsid w:val="4CF25E54"/>
    <w:rsid w:val="4D4E77F2"/>
    <w:rsid w:val="4E931B10"/>
    <w:rsid w:val="4FD73045"/>
    <w:rsid w:val="50304FA2"/>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C250119"/>
    <w:rsid w:val="5DDC6E97"/>
    <w:rsid w:val="607225C9"/>
    <w:rsid w:val="608B6872"/>
    <w:rsid w:val="61FA2450"/>
    <w:rsid w:val="624F31B6"/>
    <w:rsid w:val="626F460D"/>
    <w:rsid w:val="62737F03"/>
    <w:rsid w:val="62BD7680"/>
    <w:rsid w:val="63B80222"/>
    <w:rsid w:val="64BB3B0A"/>
    <w:rsid w:val="65173864"/>
    <w:rsid w:val="67074C35"/>
    <w:rsid w:val="670F75EA"/>
    <w:rsid w:val="67B86FD5"/>
    <w:rsid w:val="68CC736B"/>
    <w:rsid w:val="69A05A18"/>
    <w:rsid w:val="6A523E73"/>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7FB0009"/>
    <w:rsid w:val="78323E75"/>
    <w:rsid w:val="783F1EBD"/>
    <w:rsid w:val="78660BE4"/>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3938-1748-4AEC-ADF9-05243A37B54F}">
  <ds:schemaRefs/>
</ds:datastoreItem>
</file>

<file path=docProps/app.xml><?xml version="1.0" encoding="utf-8"?>
<Properties xmlns="http://schemas.openxmlformats.org/officeDocument/2006/extended-properties" xmlns:vt="http://schemas.openxmlformats.org/officeDocument/2006/docPropsVTypes">
  <Template>Normal</Template>
  <Pages>3</Pages>
  <Words>413</Words>
  <Characters>504</Characters>
  <Lines>3</Lines>
  <Paragraphs>1</Paragraphs>
  <TotalTime>1</TotalTime>
  <ScaleCrop>false</ScaleCrop>
  <LinksUpToDate>false</LinksUpToDate>
  <CharactersWithSpaces>510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2023-11-07T01:33:26Z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8CA216D957B4428D99435CC69F7DA4D4_12</vt:lpwstr>
  </property>
</Properties>
</file>