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lang w:eastAsia="zh-CN"/>
        </w:rPr>
        <w:drawing>
          <wp:inline distT="0" distB="0" distL="114300" distR="114300">
            <wp:extent cx="4844415" cy="3208655"/>
            <wp:effectExtent l="0" t="0" r="0" b="0"/>
            <wp:docPr id="1" name="图片 1" descr="透明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透明底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44415" cy="320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2" w:firstLineChars="200"/>
        <w:jc w:val="center"/>
        <w:rPr>
          <w:rFonts w:hint="eastAsia" w:ascii="宋体" w:hAnsi="宋体" w:cs="宋体"/>
          <w:b/>
          <w:bCs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2F5597" w:themeColor="accent1" w:themeShade="BF"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993775</wp:posOffset>
                </wp:positionH>
                <wp:positionV relativeFrom="paragraph">
                  <wp:posOffset>18415</wp:posOffset>
                </wp:positionV>
                <wp:extent cx="3606800" cy="828040"/>
                <wp:effectExtent l="0" t="0" r="0" b="0"/>
                <wp:wrapThrough wrapText="bothSides">
                  <wp:wrapPolygon>
                    <wp:start x="567" y="1275"/>
                    <wp:lineTo x="21033" y="1275"/>
                    <wp:lineTo x="21033" y="20325"/>
                    <wp:lineTo x="567" y="20325"/>
                    <wp:lineTo x="567" y="1275"/>
                  </wp:wrapPolygon>
                </wp:wrapThrough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0" cy="828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HX-CW250H超声波微波组合反应系统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(超声波微波协同工作站）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8.25pt;margin-top:1.45pt;height:65.2pt;width:284pt;mso-wrap-distance-left:9pt;mso-wrap-distance-right:9pt;z-index:-251655168;mso-width-relative:page;mso-height-relative:page;" filled="f" stroked="f" coordsize="21600,21600" wrapcoords="567 1275 21033 1275 21033 20325 567 20325 567 1275" o:gfxdata="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HpGEa2AAAAAkBAAAPAAAAAAAAAAEAIAAAACIAAABkcnMv&#10;ZG93bnJldi54bWxQSwECFAAUAAAACACHTuJAx3F/mDwCAABmBAAADgAAAAAAAAABACAAAAAn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HX-CW250H超声波微波组合反应系统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(超声波微波协同工作站）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>
      <w:pPr>
        <w:spacing w:line="360" w:lineRule="auto"/>
        <w:ind w:firstLine="482" w:firstLineChars="200"/>
        <w:jc w:val="center"/>
        <w:rPr>
          <w:rFonts w:hint="eastAsia" w:ascii="宋体" w:hAnsi="宋体" w:cs="宋体"/>
          <w:b/>
          <w:bCs/>
          <w:color w:val="2F5597" w:themeColor="accent1" w:themeShade="BF"/>
          <w:sz w:val="24"/>
          <w:szCs w:val="24"/>
          <w:lang w:val="en-US" w:eastAsia="zh-CN"/>
        </w:rPr>
      </w:pPr>
    </w:p>
    <w:p>
      <w:pPr>
        <w:spacing w:line="360" w:lineRule="auto"/>
        <w:ind w:firstLine="482" w:firstLineChars="200"/>
        <w:jc w:val="center"/>
        <w:rPr>
          <w:rFonts w:hint="eastAsia" w:ascii="宋体" w:hAnsi="宋体" w:cs="宋体"/>
          <w:b/>
          <w:bCs/>
          <w:color w:val="2F5597" w:themeColor="accent1" w:themeShade="BF"/>
          <w:sz w:val="24"/>
          <w:szCs w:val="24"/>
          <w:lang w:val="en-US" w:eastAsia="zh-CN"/>
        </w:rPr>
      </w:pP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56192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Z&#10;eyux1QAAAAcBAAAPAAAAAAAAAAEAIAAAACIAAABkcnMvZG93bnJldi54bWxQSwECFAAUAAAACACH&#10;TuJAabUdEe4BAAC1AwAADgAAAAAAAAABACAAAAAkAQAAZHJzL2Uyb0RvYy54bWxQSwUGAAAAAAYA&#10;BgBZAQAAhA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line="360" w:lineRule="auto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超声波微波组合反应系统，具有微波、超声波、微波超声波单独控制和协同功能。系统同时实现了7寸触摸界面控制、具有数据储存，以及高清可视化实时显示反应状态等功能。</w:t>
      </w:r>
    </w:p>
    <w:p>
      <w:pPr>
        <w:spacing w:line="360" w:lineRule="auto"/>
        <w:jc w:val="left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微波化学合成仪广泛应用于高校、科研院所、生物制药、材料工矿等众多领域的化学合成。微波化学合成仪利用微波、超声波、紫外光等基础原理对反应物有有效的催化作用，可创造多种合成条件，加快化学合成反应等显著特点。</w:t>
      </w:r>
    </w:p>
    <w:p>
      <w:p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7216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10"/>
        <w:spacing w:before="0" w:beforeAutospacing="0" w:after="0" w:afterAutospacing="0" w:line="360" w:lineRule="auto"/>
        <w:rPr>
          <w:rFonts w:hint="default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1.</w:t>
      </w: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技术特点</w:t>
      </w:r>
    </w:p>
    <w:p>
      <w:pPr>
        <w:pStyle w:val="10"/>
        <w:spacing w:before="0" w:beforeAutospacing="0" w:after="0" w:afterAutospacing="0" w:line="360" w:lineRule="auto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1.1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温控系统：红外温度传感器。</w:t>
      </w:r>
    </w:p>
    <w:p>
      <w:pPr>
        <w:pStyle w:val="10"/>
        <w:spacing w:before="0" w:beforeAutospacing="0" w:after="0" w:afterAutospacing="0" w:line="360" w:lineRule="auto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1.2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容器容量：250ml。</w:t>
      </w:r>
    </w:p>
    <w:p>
      <w:pPr>
        <w:pStyle w:val="10"/>
        <w:spacing w:before="0" w:beforeAutospacing="0" w:after="0" w:afterAutospacing="0" w:line="360" w:lineRule="auto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1.3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操作系统：微电脑控制技术，多段程序控制模式。</w:t>
      </w:r>
    </w:p>
    <w:p>
      <w:pPr>
        <w:pStyle w:val="10"/>
        <w:spacing w:before="0" w:beforeAutospacing="0" w:after="0" w:afterAutospacing="0" w:line="360" w:lineRule="auto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1.4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超声功率:1</w:t>
      </w: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8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00W可微调；超声频率：20KHz，超声探头可进行介入或非介入样品，通过空化效应或者空气传输，作用于样品功能。</w:t>
      </w:r>
    </w:p>
    <w:p>
      <w:pPr>
        <w:pStyle w:val="10"/>
        <w:spacing w:before="0" w:beforeAutospacing="0" w:after="0" w:afterAutospacing="0" w:line="360" w:lineRule="auto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1.5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标配超声探头直径：Φ15适合不同口径的反应容器</w:t>
      </w:r>
    </w:p>
    <w:p>
      <w:pPr>
        <w:pStyle w:val="10"/>
        <w:spacing w:before="0" w:beforeAutospacing="0" w:after="0" w:afterAutospacing="0" w:line="360" w:lineRule="auto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2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.控制系统</w:t>
      </w:r>
    </w:p>
    <w:p>
      <w:pPr>
        <w:pStyle w:val="10"/>
        <w:spacing w:before="0" w:beforeAutospacing="0" w:after="0" w:afterAutospacing="0" w:line="360" w:lineRule="auto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2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.1微波频率：2450MHz,非脉冲连续自动变频控制，0-100%功率自动连续可调。</w:t>
      </w:r>
    </w:p>
    <w:p>
      <w:pPr>
        <w:pStyle w:val="10"/>
        <w:spacing w:before="0" w:beforeAutospacing="0" w:after="0" w:afterAutospacing="0" w:line="360" w:lineRule="auto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2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.2工业级磁控管：微波最大输出功率1000W。</w:t>
      </w:r>
    </w:p>
    <w:p>
      <w:pPr>
        <w:pStyle w:val="10"/>
        <w:spacing w:before="0" w:beforeAutospacing="0" w:after="0" w:afterAutospacing="0" w:line="360" w:lineRule="auto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2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.3温度控制系统：采用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无线可穿透红外温度传感器传感器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。</w:t>
      </w:r>
    </w:p>
    <w:p>
      <w:pPr>
        <w:pStyle w:val="10"/>
        <w:spacing w:before="0" w:beforeAutospacing="0" w:after="0" w:afterAutospacing="0" w:line="360" w:lineRule="auto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2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.</w:t>
      </w: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4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紫外催化系统：波长253.7nm，功率100W。</w:t>
      </w:r>
    </w:p>
    <w:p>
      <w:pPr>
        <w:pStyle w:val="10"/>
        <w:spacing w:before="0" w:beforeAutospacing="0" w:after="0" w:afterAutospacing="0" w:line="360" w:lineRule="auto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2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.</w:t>
      </w: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5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搅拌装置：磁力搅拌</w:t>
      </w: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，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搅拌转速</w:t>
      </w: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0~2500rpm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可调。</w:t>
      </w:r>
    </w:p>
    <w:p>
      <w:pPr>
        <w:pStyle w:val="10"/>
        <w:spacing w:before="0" w:beforeAutospacing="0" w:after="0" w:afterAutospacing="0" w:line="360" w:lineRule="auto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2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.</w:t>
      </w: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6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多功能操作模式，可以扩展为微波萃取、微波合成、超声破壁等。</w:t>
      </w:r>
    </w:p>
    <w:p>
      <w:pPr>
        <w:pStyle w:val="10"/>
        <w:spacing w:before="0" w:beforeAutospacing="0" w:after="0" w:afterAutospacing="0" w:line="360" w:lineRule="auto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3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.炉门、炉腔安全</w:t>
      </w:r>
    </w:p>
    <w:p>
      <w:pPr>
        <w:pStyle w:val="10"/>
        <w:spacing w:before="0" w:beforeAutospacing="0" w:after="0" w:afterAutospacing="0" w:line="360" w:lineRule="auto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3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.1六层钢结构安全炉门，采用缓冲浮动设计，确保实验过程中的安全。</w:t>
      </w:r>
    </w:p>
    <w:p>
      <w:pPr>
        <w:pStyle w:val="10"/>
        <w:spacing w:before="0" w:beforeAutospacing="0" w:after="0" w:afterAutospacing="0" w:line="360" w:lineRule="auto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3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.2采用机械锁、电子锁协调配合，保证运行过程中炉门无法开启，当炉门异常开启时仪器自动切断微波停止工作。</w:t>
      </w:r>
    </w:p>
    <w:p>
      <w:pPr>
        <w:pStyle w:val="10"/>
        <w:spacing w:before="0" w:beforeAutospacing="0" w:after="0" w:afterAutospacing="0" w:line="360" w:lineRule="auto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3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.3炉腔腔体采用316L工业级不锈钢一体成型，炉腔喷涂多达6层PFA防腐涂层。</w:t>
      </w:r>
    </w:p>
    <w:p>
      <w:pPr>
        <w:pStyle w:val="10"/>
        <w:spacing w:before="0" w:beforeAutospacing="0" w:after="0" w:afterAutospacing="0" w:line="360" w:lineRule="auto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4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.操作系统</w:t>
      </w:r>
    </w:p>
    <w:p>
      <w:pPr>
        <w:pStyle w:val="10"/>
        <w:spacing w:before="0" w:beforeAutospacing="0" w:after="0" w:afterAutospacing="0" w:line="360" w:lineRule="auto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4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.1微电脑控制技术，可实现历史数据查看，数据导出导入。</w:t>
      </w:r>
    </w:p>
    <w:p>
      <w:pPr>
        <w:pStyle w:val="10"/>
        <w:spacing w:before="0" w:beforeAutospacing="0" w:after="0" w:afterAutospacing="0" w:line="360" w:lineRule="auto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4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.2电容式液晶触摸显示屏，实时显示包括：温度、升温时间、恒温时间、微波功率、反应进程。</w:t>
      </w:r>
    </w:p>
    <w:p>
      <w:pPr>
        <w:pStyle w:val="10"/>
        <w:spacing w:before="0" w:beforeAutospacing="0" w:after="0" w:afterAutospacing="0" w:line="360" w:lineRule="auto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4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.3仪器内置方法库，可直接选取调用方案，可储存200种方法。</w:t>
      </w:r>
    </w:p>
    <w:p>
      <w:pPr>
        <w:pStyle w:val="10"/>
        <w:spacing w:before="0" w:beforeAutospacing="0" w:after="0" w:afterAutospacing="0" w:line="360" w:lineRule="auto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5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.反应组件</w:t>
      </w:r>
    </w:p>
    <w:p>
      <w:pPr>
        <w:pStyle w:val="10"/>
        <w:spacing w:before="0" w:beforeAutospacing="0" w:after="0" w:afterAutospacing="0" w:line="360" w:lineRule="auto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5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.1反应器可选配聚四氟乙烯或者耐高温、耐腐蚀玻璃材料，反应器容积250ml。</w:t>
      </w:r>
    </w:p>
    <w:p>
      <w:pPr>
        <w:pStyle w:val="10"/>
        <w:spacing w:before="0" w:beforeAutospacing="0" w:after="0" w:afterAutospacing="0" w:line="360" w:lineRule="auto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5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.2反应器可连接玻璃导管，采用开放式反应体系，可安装滴液漏斗和冷凝管等进行回流反应。</w:t>
      </w:r>
    </w:p>
    <w:p>
      <w:pPr>
        <w:pStyle w:val="10"/>
        <w:spacing w:before="0" w:beforeAutospacing="0" w:after="0" w:afterAutospacing="0" w:line="360" w:lineRule="auto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2"/>
        <w:tblpPr w:leftFromText="180" w:rightFromText="180" w:vertAnchor="text" w:horzAnchor="page" w:tblpX="1800" w:tblpY="204"/>
        <w:tblOverlap w:val="never"/>
        <w:tblW w:w="4998" w:type="pct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8"/>
        <w:gridCol w:w="194"/>
        <w:gridCol w:w="4047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1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2489" w:type="pct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HX-CW250H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1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货号</w:t>
            </w:r>
          </w:p>
        </w:tc>
        <w:tc>
          <w:tcPr>
            <w:tcW w:w="2489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1008036001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1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容器容量</w:t>
            </w:r>
          </w:p>
        </w:tc>
        <w:tc>
          <w:tcPr>
            <w:tcW w:w="2489" w:type="pct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250ml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1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超声波功率</w:t>
            </w:r>
          </w:p>
        </w:tc>
        <w:tc>
          <w:tcPr>
            <w:tcW w:w="2489" w:type="pct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1800W可微调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1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超声波变幅杆</w:t>
            </w:r>
          </w:p>
        </w:tc>
        <w:tc>
          <w:tcPr>
            <w:tcW w:w="2489" w:type="pct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随机：Φ15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1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超声波频率</w:t>
            </w:r>
          </w:p>
        </w:tc>
        <w:tc>
          <w:tcPr>
            <w:tcW w:w="2489" w:type="pct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20KHZ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1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超声波显示方式</w:t>
            </w:r>
          </w:p>
        </w:tc>
        <w:tc>
          <w:tcPr>
            <w:tcW w:w="2489" w:type="pct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真彩7寸触摸电容屏高清晰显示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1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超声波控制方式</w:t>
            </w:r>
          </w:p>
        </w:tc>
        <w:tc>
          <w:tcPr>
            <w:tcW w:w="2489" w:type="pct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单片机+TFT触控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</w:trPr>
        <w:tc>
          <w:tcPr>
            <w:tcW w:w="251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超声波主机材质</w:t>
            </w:r>
          </w:p>
        </w:tc>
        <w:tc>
          <w:tcPr>
            <w:tcW w:w="2489" w:type="pct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铝合金+ABS塑料模具一次性成型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251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微波反应系统整机功率</w:t>
            </w:r>
          </w:p>
        </w:tc>
        <w:tc>
          <w:tcPr>
            <w:tcW w:w="2489" w:type="pct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2100W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1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微波反应系统最大输出功率</w:t>
            </w:r>
          </w:p>
        </w:tc>
        <w:tc>
          <w:tcPr>
            <w:tcW w:w="2489" w:type="pct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1000W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1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微波频率</w:t>
            </w:r>
          </w:p>
        </w:tc>
        <w:tc>
          <w:tcPr>
            <w:tcW w:w="2489" w:type="pct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2450MH，0-100%功率自动连续可调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1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微波温度传感器</w:t>
            </w:r>
          </w:p>
        </w:tc>
        <w:tc>
          <w:tcPr>
            <w:tcW w:w="2489" w:type="pct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无线可穿透红外温度传感器传感器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1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微波测温范围</w:t>
            </w:r>
          </w:p>
        </w:tc>
        <w:tc>
          <w:tcPr>
            <w:tcW w:w="2489" w:type="pct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0～350℃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1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微波最高温度</w:t>
            </w:r>
          </w:p>
        </w:tc>
        <w:tc>
          <w:tcPr>
            <w:tcW w:w="2489" w:type="pct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250℃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1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微波控温精度</w:t>
            </w:r>
          </w:p>
        </w:tc>
        <w:tc>
          <w:tcPr>
            <w:tcW w:w="2489" w:type="pct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≤±1℃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1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微波测压范围</w:t>
            </w:r>
          </w:p>
        </w:tc>
        <w:tc>
          <w:tcPr>
            <w:tcW w:w="2489" w:type="pct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0-15Mpa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1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微波控压精度</w:t>
            </w:r>
          </w:p>
        </w:tc>
        <w:tc>
          <w:tcPr>
            <w:tcW w:w="2489" w:type="pct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±0.01Mpa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1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微波炉腔腔体材质</w:t>
            </w:r>
          </w:p>
        </w:tc>
        <w:tc>
          <w:tcPr>
            <w:tcW w:w="2489" w:type="pct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316L工业级不锈钢一体成型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1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微波炉门材质</w:t>
            </w:r>
          </w:p>
        </w:tc>
        <w:tc>
          <w:tcPr>
            <w:tcW w:w="2489" w:type="pct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缓冲浮动设计六层钢结构炉门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1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工作时间</w:t>
            </w:r>
          </w:p>
        </w:tc>
        <w:tc>
          <w:tcPr>
            <w:tcW w:w="2489" w:type="pct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连续工作、0-9999s可调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1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搅拌转速rpm</w:t>
            </w:r>
          </w:p>
        </w:tc>
        <w:tc>
          <w:tcPr>
            <w:tcW w:w="2489" w:type="pct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0~2500rpm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循环泵型号</w:t>
            </w:r>
          </w:p>
        </w:tc>
        <w:tc>
          <w:tcPr>
            <w:tcW w:w="2489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HXS-0503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循环泵货号</w:t>
            </w:r>
          </w:p>
        </w:tc>
        <w:tc>
          <w:tcPr>
            <w:tcW w:w="2489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1039019001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1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温度范围（℃）</w:t>
            </w:r>
          </w:p>
        </w:tc>
        <w:tc>
          <w:tcPr>
            <w:tcW w:w="2489" w:type="pct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-5~100℃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1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数显分辨率（℃）</w:t>
            </w:r>
          </w:p>
        </w:tc>
        <w:tc>
          <w:tcPr>
            <w:tcW w:w="2489" w:type="pct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0.1℃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1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内槽容积（长*宽*深mm）</w:t>
            </w:r>
          </w:p>
        </w:tc>
        <w:tc>
          <w:tcPr>
            <w:tcW w:w="2489" w:type="pct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170*180*130mm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1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循环泵流量（L/min）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489" w:type="pct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8L/min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1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加水口（mm）</w:t>
            </w:r>
          </w:p>
        </w:tc>
        <w:tc>
          <w:tcPr>
            <w:tcW w:w="2489" w:type="pct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Φ35mm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1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总容量（L）</w:t>
            </w:r>
          </w:p>
        </w:tc>
        <w:tc>
          <w:tcPr>
            <w:tcW w:w="2489" w:type="pct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3.5L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1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循环泵仪器尺寸（深*宽*高mm)</w:t>
            </w:r>
          </w:p>
        </w:tc>
        <w:tc>
          <w:tcPr>
            <w:tcW w:w="2489" w:type="pct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440*300*510mm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1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微波仪器尺寸（长*宽*高mm）</w:t>
            </w:r>
          </w:p>
        </w:tc>
        <w:tc>
          <w:tcPr>
            <w:tcW w:w="2489" w:type="pct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500*480*550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24" w:type="pct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超声波主机仪器尺寸（深*宽*高mm)</w:t>
            </w:r>
          </w:p>
        </w:tc>
        <w:tc>
          <w:tcPr>
            <w:tcW w:w="2375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427*340*168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24" w:type="pct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循环泵仪器净重kg</w:t>
            </w:r>
          </w:p>
        </w:tc>
        <w:tc>
          <w:tcPr>
            <w:tcW w:w="2375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27.5kg</w:t>
            </w:r>
          </w:p>
        </w:tc>
      </w:tr>
    </w:tbl>
    <w:p>
      <w:pPr>
        <w:spacing w:line="360" w:lineRule="auto"/>
        <w:ind w:firstLine="480" w:firstLineChars="200"/>
        <w:jc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</w:p>
    <w:p>
      <w:pPr>
        <w:pStyle w:val="10"/>
        <w:spacing w:before="0" w:beforeAutospacing="0" w:after="0" w:afterAutospacing="0" w:line="360" w:lineRule="auto"/>
        <w:rPr>
          <w:rFonts w:hint="default" w:eastAsia="宋体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</w:t>
      </w: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、</w:t>
      </w: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装箱清单</w:t>
      </w:r>
    </w:p>
    <w:tbl>
      <w:tblPr>
        <w:tblStyle w:val="12"/>
        <w:tblpPr w:leftFromText="180" w:rightFromText="180" w:vertAnchor="text" w:horzAnchor="page" w:tblpX="1800" w:tblpY="204"/>
        <w:tblOverlap w:val="never"/>
        <w:tblW w:w="4998" w:type="pct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4980"/>
        <w:gridCol w:w="1872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922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098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22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主机</w:t>
            </w:r>
          </w:p>
        </w:tc>
        <w:tc>
          <w:tcPr>
            <w:tcW w:w="1098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22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工具盒</w:t>
            </w:r>
          </w:p>
        </w:tc>
        <w:tc>
          <w:tcPr>
            <w:tcW w:w="1098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1盒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922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冷凝口软管&amp;进料口软管</w:t>
            </w:r>
          </w:p>
        </w:tc>
        <w:tc>
          <w:tcPr>
            <w:tcW w:w="1098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各1根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922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四口烧瓶</w:t>
            </w:r>
          </w:p>
        </w:tc>
        <w:tc>
          <w:tcPr>
            <w:tcW w:w="1098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922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四口瓶塞</w:t>
            </w:r>
          </w:p>
        </w:tc>
        <w:tc>
          <w:tcPr>
            <w:tcW w:w="1098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922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进料口接头</w:t>
            </w:r>
          </w:p>
        </w:tc>
        <w:tc>
          <w:tcPr>
            <w:tcW w:w="1098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922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冷凝管玻璃塞</w:t>
            </w:r>
          </w:p>
        </w:tc>
        <w:tc>
          <w:tcPr>
            <w:tcW w:w="1098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922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蛇形冷凝管</w:t>
            </w:r>
          </w:p>
        </w:tc>
        <w:tc>
          <w:tcPr>
            <w:tcW w:w="1098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922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冷水机软管</w:t>
            </w:r>
          </w:p>
        </w:tc>
        <w:tc>
          <w:tcPr>
            <w:tcW w:w="1098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922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冷凝口接头</w:t>
            </w:r>
          </w:p>
        </w:tc>
        <w:tc>
          <w:tcPr>
            <w:tcW w:w="1098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922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冷凝管固定支架</w:t>
            </w:r>
          </w:p>
        </w:tc>
        <w:tc>
          <w:tcPr>
            <w:tcW w:w="1098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922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温度传感器接头</w:t>
            </w:r>
          </w:p>
        </w:tc>
        <w:tc>
          <w:tcPr>
            <w:tcW w:w="1098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922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配件</w:t>
            </w:r>
          </w:p>
        </w:tc>
        <w:tc>
          <w:tcPr>
            <w:tcW w:w="1098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1组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922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说明书&amp;合格证&amp;保修卡</w:t>
            </w:r>
          </w:p>
        </w:tc>
        <w:tc>
          <w:tcPr>
            <w:tcW w:w="1098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各1份</w:t>
            </w:r>
          </w:p>
        </w:tc>
      </w:tr>
    </w:tbl>
    <w:p>
      <w:pPr>
        <w:spacing w:line="360" w:lineRule="auto"/>
        <w:ind w:firstLine="480" w:firstLineChars="200"/>
        <w:jc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left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1292225" cy="1292225"/>
          <wp:effectExtent l="0" t="0" r="3175" b="3175"/>
          <wp:docPr id="2" name="图片 2" descr="沪析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沪析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2225" cy="1292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>SHANGHAIHUXIINDUSTRIAL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2414F"/>
    <w:rsid w:val="00091A92"/>
    <w:rsid w:val="000A30B6"/>
    <w:rsid w:val="000F0EE7"/>
    <w:rsid w:val="00172A2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6B6DB7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BF6C1A"/>
    <w:rsid w:val="00C47428"/>
    <w:rsid w:val="00C83139"/>
    <w:rsid w:val="00DA0404"/>
    <w:rsid w:val="00DA6A09"/>
    <w:rsid w:val="00E15CAB"/>
    <w:rsid w:val="00E2271A"/>
    <w:rsid w:val="00E43C10"/>
    <w:rsid w:val="00E54BE6"/>
    <w:rsid w:val="00E610B3"/>
    <w:rsid w:val="00E62DD8"/>
    <w:rsid w:val="00E900EE"/>
    <w:rsid w:val="00EC783E"/>
    <w:rsid w:val="00EF22FA"/>
    <w:rsid w:val="00EF585C"/>
    <w:rsid w:val="00F961F4"/>
    <w:rsid w:val="00FB5352"/>
    <w:rsid w:val="00FE197F"/>
    <w:rsid w:val="017212D3"/>
    <w:rsid w:val="02AA71DB"/>
    <w:rsid w:val="02D933F4"/>
    <w:rsid w:val="02F87F3E"/>
    <w:rsid w:val="03F258F4"/>
    <w:rsid w:val="04E918A9"/>
    <w:rsid w:val="059A70EE"/>
    <w:rsid w:val="0692734F"/>
    <w:rsid w:val="07553E41"/>
    <w:rsid w:val="08181C5D"/>
    <w:rsid w:val="091F1204"/>
    <w:rsid w:val="0A184A29"/>
    <w:rsid w:val="0A366F57"/>
    <w:rsid w:val="0A553E45"/>
    <w:rsid w:val="0A965B96"/>
    <w:rsid w:val="0C403756"/>
    <w:rsid w:val="0D3E7415"/>
    <w:rsid w:val="107D0655"/>
    <w:rsid w:val="10C02CE0"/>
    <w:rsid w:val="10E60B82"/>
    <w:rsid w:val="11385EB2"/>
    <w:rsid w:val="117D1E52"/>
    <w:rsid w:val="12F323D9"/>
    <w:rsid w:val="132B76BA"/>
    <w:rsid w:val="13377D20"/>
    <w:rsid w:val="137B5339"/>
    <w:rsid w:val="15D5436E"/>
    <w:rsid w:val="162626F1"/>
    <w:rsid w:val="163338FF"/>
    <w:rsid w:val="167836D1"/>
    <w:rsid w:val="16855545"/>
    <w:rsid w:val="16A71820"/>
    <w:rsid w:val="17083916"/>
    <w:rsid w:val="18711AC3"/>
    <w:rsid w:val="1886336C"/>
    <w:rsid w:val="18E75226"/>
    <w:rsid w:val="192704E2"/>
    <w:rsid w:val="19471AEB"/>
    <w:rsid w:val="1976192B"/>
    <w:rsid w:val="1A4C7833"/>
    <w:rsid w:val="1AB80B3F"/>
    <w:rsid w:val="1B871C86"/>
    <w:rsid w:val="1C4A28F1"/>
    <w:rsid w:val="1C8D4EFF"/>
    <w:rsid w:val="1D04709D"/>
    <w:rsid w:val="1D725B82"/>
    <w:rsid w:val="1DEF28E6"/>
    <w:rsid w:val="1E486378"/>
    <w:rsid w:val="1EEB4FA4"/>
    <w:rsid w:val="1F995798"/>
    <w:rsid w:val="2024037B"/>
    <w:rsid w:val="20FD0276"/>
    <w:rsid w:val="2159429D"/>
    <w:rsid w:val="216A23E2"/>
    <w:rsid w:val="22E601DB"/>
    <w:rsid w:val="23243285"/>
    <w:rsid w:val="238169D3"/>
    <w:rsid w:val="241D3C4F"/>
    <w:rsid w:val="246A0583"/>
    <w:rsid w:val="24AE6CFC"/>
    <w:rsid w:val="25B20DC9"/>
    <w:rsid w:val="26236FA9"/>
    <w:rsid w:val="270A6E69"/>
    <w:rsid w:val="28DC623A"/>
    <w:rsid w:val="28E74A12"/>
    <w:rsid w:val="29226266"/>
    <w:rsid w:val="295A600F"/>
    <w:rsid w:val="295E0169"/>
    <w:rsid w:val="29A931D4"/>
    <w:rsid w:val="29CD068F"/>
    <w:rsid w:val="2A602115"/>
    <w:rsid w:val="2A847618"/>
    <w:rsid w:val="2AC31D90"/>
    <w:rsid w:val="2B3C4900"/>
    <w:rsid w:val="2BE36FED"/>
    <w:rsid w:val="2C2B4AD0"/>
    <w:rsid w:val="2C936415"/>
    <w:rsid w:val="2C9C151B"/>
    <w:rsid w:val="2CBC35B2"/>
    <w:rsid w:val="2D270418"/>
    <w:rsid w:val="2D9E504D"/>
    <w:rsid w:val="2DBB4423"/>
    <w:rsid w:val="2E5E5B1C"/>
    <w:rsid w:val="30667F5E"/>
    <w:rsid w:val="32494755"/>
    <w:rsid w:val="3269458C"/>
    <w:rsid w:val="34121BAC"/>
    <w:rsid w:val="348346E6"/>
    <w:rsid w:val="348E7F12"/>
    <w:rsid w:val="35B92EB0"/>
    <w:rsid w:val="35C62DC6"/>
    <w:rsid w:val="36585CBC"/>
    <w:rsid w:val="36E10A24"/>
    <w:rsid w:val="379C5565"/>
    <w:rsid w:val="38950DA7"/>
    <w:rsid w:val="38C43CA9"/>
    <w:rsid w:val="3A045A6B"/>
    <w:rsid w:val="3A542ACC"/>
    <w:rsid w:val="3A5D683C"/>
    <w:rsid w:val="3AB51C17"/>
    <w:rsid w:val="3ABF1760"/>
    <w:rsid w:val="3B730410"/>
    <w:rsid w:val="3BB56AC5"/>
    <w:rsid w:val="3C5E63A4"/>
    <w:rsid w:val="3D512FDD"/>
    <w:rsid w:val="3DA6127B"/>
    <w:rsid w:val="3DEB6E30"/>
    <w:rsid w:val="3E2B5E06"/>
    <w:rsid w:val="3E686015"/>
    <w:rsid w:val="3FA07A8C"/>
    <w:rsid w:val="40764144"/>
    <w:rsid w:val="410B44C7"/>
    <w:rsid w:val="428733E9"/>
    <w:rsid w:val="433D2C69"/>
    <w:rsid w:val="43EA5F2F"/>
    <w:rsid w:val="442711AA"/>
    <w:rsid w:val="468E2FF9"/>
    <w:rsid w:val="47452E02"/>
    <w:rsid w:val="476C61D1"/>
    <w:rsid w:val="498B526A"/>
    <w:rsid w:val="49A80A30"/>
    <w:rsid w:val="49F622FF"/>
    <w:rsid w:val="4A527F2C"/>
    <w:rsid w:val="4A5B32C9"/>
    <w:rsid w:val="4AA4627F"/>
    <w:rsid w:val="4ABD11B4"/>
    <w:rsid w:val="4ADC76DB"/>
    <w:rsid w:val="4C693B51"/>
    <w:rsid w:val="4CA81950"/>
    <w:rsid w:val="4D47724B"/>
    <w:rsid w:val="4D4E77F2"/>
    <w:rsid w:val="4DD60620"/>
    <w:rsid w:val="4E931B10"/>
    <w:rsid w:val="4F344900"/>
    <w:rsid w:val="4F4D2427"/>
    <w:rsid w:val="4FD73045"/>
    <w:rsid w:val="50AC16EB"/>
    <w:rsid w:val="51694182"/>
    <w:rsid w:val="51C771E3"/>
    <w:rsid w:val="51F9487C"/>
    <w:rsid w:val="528E61AE"/>
    <w:rsid w:val="52CB698E"/>
    <w:rsid w:val="52EE746C"/>
    <w:rsid w:val="530B0005"/>
    <w:rsid w:val="53FC2F37"/>
    <w:rsid w:val="544222BC"/>
    <w:rsid w:val="5452446D"/>
    <w:rsid w:val="5636758A"/>
    <w:rsid w:val="563C7D3B"/>
    <w:rsid w:val="56425ACF"/>
    <w:rsid w:val="567A4548"/>
    <w:rsid w:val="56E0707C"/>
    <w:rsid w:val="576F688D"/>
    <w:rsid w:val="57D41957"/>
    <w:rsid w:val="5826783E"/>
    <w:rsid w:val="58926505"/>
    <w:rsid w:val="58C6092D"/>
    <w:rsid w:val="58F34817"/>
    <w:rsid w:val="59071320"/>
    <w:rsid w:val="591C6583"/>
    <w:rsid w:val="594D1214"/>
    <w:rsid w:val="59AB3574"/>
    <w:rsid w:val="5B0E37E8"/>
    <w:rsid w:val="5B204330"/>
    <w:rsid w:val="5B605153"/>
    <w:rsid w:val="5BDA755D"/>
    <w:rsid w:val="5C2719BA"/>
    <w:rsid w:val="5D321208"/>
    <w:rsid w:val="5DDC6E97"/>
    <w:rsid w:val="5E4F2952"/>
    <w:rsid w:val="5E645FF4"/>
    <w:rsid w:val="5F2115AD"/>
    <w:rsid w:val="5F4C5984"/>
    <w:rsid w:val="607225C9"/>
    <w:rsid w:val="608B6872"/>
    <w:rsid w:val="60DD4FA9"/>
    <w:rsid w:val="61FA2450"/>
    <w:rsid w:val="624F31B6"/>
    <w:rsid w:val="626F460D"/>
    <w:rsid w:val="62737F03"/>
    <w:rsid w:val="62BD7680"/>
    <w:rsid w:val="62EE29DB"/>
    <w:rsid w:val="630A0FFD"/>
    <w:rsid w:val="63B80222"/>
    <w:rsid w:val="649D0C4F"/>
    <w:rsid w:val="64BB3B0A"/>
    <w:rsid w:val="65173864"/>
    <w:rsid w:val="6533652A"/>
    <w:rsid w:val="6565085D"/>
    <w:rsid w:val="65656C3E"/>
    <w:rsid w:val="67074C35"/>
    <w:rsid w:val="67B86FD5"/>
    <w:rsid w:val="68CC736B"/>
    <w:rsid w:val="68FB2629"/>
    <w:rsid w:val="69A05A18"/>
    <w:rsid w:val="6AB4227F"/>
    <w:rsid w:val="6AC503C3"/>
    <w:rsid w:val="6AD05C4D"/>
    <w:rsid w:val="6B3B6611"/>
    <w:rsid w:val="6B4176E8"/>
    <w:rsid w:val="6B5251F4"/>
    <w:rsid w:val="6B6C7258"/>
    <w:rsid w:val="6BA7011A"/>
    <w:rsid w:val="6CC511E5"/>
    <w:rsid w:val="6D7F221F"/>
    <w:rsid w:val="6DC7675A"/>
    <w:rsid w:val="6DFB560B"/>
    <w:rsid w:val="6E704000"/>
    <w:rsid w:val="6F17421F"/>
    <w:rsid w:val="6F7B3153"/>
    <w:rsid w:val="6F975B11"/>
    <w:rsid w:val="705A68CE"/>
    <w:rsid w:val="71B96608"/>
    <w:rsid w:val="71E561F0"/>
    <w:rsid w:val="724F4355"/>
    <w:rsid w:val="72785025"/>
    <w:rsid w:val="72DC41BF"/>
    <w:rsid w:val="73047407"/>
    <w:rsid w:val="73587C07"/>
    <w:rsid w:val="735E0A5A"/>
    <w:rsid w:val="737F1A45"/>
    <w:rsid w:val="73974732"/>
    <w:rsid w:val="73AE3639"/>
    <w:rsid w:val="74A64C8E"/>
    <w:rsid w:val="74B13FC3"/>
    <w:rsid w:val="75B46F5B"/>
    <w:rsid w:val="75EA64FF"/>
    <w:rsid w:val="76E353C5"/>
    <w:rsid w:val="77C15694"/>
    <w:rsid w:val="77DF1FFC"/>
    <w:rsid w:val="78323E75"/>
    <w:rsid w:val="7836761B"/>
    <w:rsid w:val="78F84331"/>
    <w:rsid w:val="79FB6B36"/>
    <w:rsid w:val="7A61311F"/>
    <w:rsid w:val="7A664B08"/>
    <w:rsid w:val="7AA2317C"/>
    <w:rsid w:val="7B043CD8"/>
    <w:rsid w:val="7B1B79EC"/>
    <w:rsid w:val="7B59763B"/>
    <w:rsid w:val="7B70313E"/>
    <w:rsid w:val="7B965710"/>
    <w:rsid w:val="7CAD3559"/>
    <w:rsid w:val="7D806002"/>
    <w:rsid w:val="7E753733"/>
    <w:rsid w:val="7F5B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7827B9-FC2E-4E73-B9DA-8BC9F20393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1140</Words>
  <Characters>1428</Characters>
  <Lines>5</Lines>
  <Paragraphs>1</Paragraphs>
  <TotalTime>3</TotalTime>
  <ScaleCrop>false</ScaleCrop>
  <LinksUpToDate>false</LinksUpToDate>
  <CharactersWithSpaces>1430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2023-12-12T07:58:14Z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D74D9663E51649E4947B5DF5D61C4714</vt:lpwstr>
  </property>
</Properties>
</file>