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D0D26">
      <w:pPr>
        <w:tabs>
          <w:tab w:val="left" w:pos="7161"/>
        </w:tabs>
        <w:jc w:val="center"/>
        <w:rPr>
          <w:rFonts w:hint="eastAsia" w:eastAsia="宋体"/>
          <w:sz w:val="30"/>
          <w:lang w:eastAsia="zh-CN"/>
        </w:rPr>
      </w:pPr>
      <w:r>
        <w:rPr>
          <w:rFonts w:hint="eastAsia" w:eastAsia="宋体"/>
          <w:sz w:val="30"/>
          <w:lang w:eastAsia="zh-CN"/>
        </w:rPr>
        <w:drawing>
          <wp:inline distT="0" distB="0" distL="114300" distR="114300">
            <wp:extent cx="3369310" cy="3369310"/>
            <wp:effectExtent l="0" t="0" r="2540" b="2540"/>
            <wp:docPr id="2" name="图片 2" descr="带支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带支架"/>
                    <pic:cNvPicPr>
                      <a:picLocks noChangeAspect="1"/>
                    </pic:cNvPicPr>
                  </pic:nvPicPr>
                  <pic:blipFill>
                    <a:blip r:embed="rId6"/>
                    <a:stretch>
                      <a:fillRect/>
                    </a:stretch>
                  </pic:blipFill>
                  <pic:spPr>
                    <a:xfrm>
                      <a:off x="0" y="0"/>
                      <a:ext cx="3369310" cy="3369310"/>
                    </a:xfrm>
                    <a:prstGeom prst="rect">
                      <a:avLst/>
                    </a:prstGeom>
                  </pic:spPr>
                </pic:pic>
              </a:graphicData>
            </a:graphic>
          </wp:inline>
        </w:drawing>
      </w:r>
    </w:p>
    <w:p w14:paraId="26F4D169">
      <w:pPr>
        <w:tabs>
          <w:tab w:val="left" w:pos="7161"/>
        </w:tabs>
        <w:jc w:val="center"/>
        <w:rPr>
          <w:sz w:val="30"/>
        </w:rPr>
      </w:pPr>
      <w:r>
        <w:rPr>
          <w:sz w:val="30"/>
        </w:rPr>
        <mc:AlternateContent>
          <mc:Choice Requires="wps">
            <w:drawing>
              <wp:anchor distT="0" distB="0" distL="114300" distR="114300" simplePos="0" relativeHeight="251661312" behindDoc="0" locked="0" layoutInCell="1" allowOverlap="1">
                <wp:simplePos x="0" y="0"/>
                <wp:positionH relativeFrom="column">
                  <wp:posOffset>1352550</wp:posOffset>
                </wp:positionH>
                <wp:positionV relativeFrom="paragraph">
                  <wp:posOffset>76200</wp:posOffset>
                </wp:positionV>
                <wp:extent cx="1828800" cy="46228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4622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3C1F2">
                            <w:pPr>
                              <w:tabs>
                                <w:tab w:val="left" w:pos="7161"/>
                              </w:tabs>
                              <w:jc w:val="center"/>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 xml:space="preserve">    </w:t>
                            </w: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HX</w: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-400</w:t>
                            </w:r>
                            <w:r>
                              <w:rPr>
                                <w:rFonts w:hint="eastAsia" w:ascii="宋体" w:hAnsi="宋体" w:cs="宋体"/>
                                <w:b/>
                                <w:bCs/>
                                <w:color w:val="2F5597" w:themeColor="accent1" w:themeShade="BF"/>
                                <w:kern w:val="2"/>
                                <w:sz w:val="24"/>
                                <w:szCs w:val="24"/>
                                <w:lang w:val="en-US" w:eastAsia="zh-CN" w:bidi="ar-SA"/>
                              </w:rPr>
                              <w:t>智能型</w:t>
                            </w:r>
                            <w:r>
                              <w:rPr>
                                <w:rFonts w:hint="eastAsia" w:ascii="宋体" w:hAnsi="宋体" w:eastAsia="宋体" w:cs="宋体"/>
                                <w:b/>
                                <w:bCs/>
                                <w:color w:val="2F5597" w:themeColor="accent1" w:themeShade="BF"/>
                                <w:kern w:val="2"/>
                                <w:sz w:val="24"/>
                                <w:szCs w:val="24"/>
                                <w:lang w:val="en-US" w:eastAsia="zh-CN" w:bidi="ar-SA"/>
                              </w:rPr>
                              <w:t>手持超声波破碎仪</w:t>
                            </w:r>
                          </w:p>
                          <w:p w14:paraId="546D3F74">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5pt;margin-top:6pt;height:36.4pt;width:144pt;mso-wrap-distance-bottom:0pt;mso-wrap-distance-top:0pt;mso-wrap-style:none;z-index:251661312;mso-width-relative:page;mso-height-relative:page;" filled="f" stroked="f" coordsize="21600,21600" o:gfxdata="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CKyI3aAAAACQEAAA8AAAAAAAAAAQAgAAAAIgAAAGRycy9k&#10;b3ducmV2LnhtbFBLAQIUABQAAAAIAIdO4kCQJUtKOQIAAGQEAAAOAAAAAAAAAAEAIAAAACkBAABk&#10;cnMvZTJvRG9jLnhtbFBLBQYAAAAABgAGAFkBAADUBQAAAAA=&#10;">
                <v:fill on="f" focussize="0,0"/>
                <v:stroke on="f" weight="0.5pt"/>
                <v:imagedata o:title=""/>
                <o:lock v:ext="edit" aspectratio="f"/>
                <v:textbox>
                  <w:txbxContent>
                    <w:p w14:paraId="0E73C1F2">
                      <w:pPr>
                        <w:tabs>
                          <w:tab w:val="left" w:pos="7161"/>
                        </w:tabs>
                        <w:jc w:val="center"/>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 xml:space="preserve">    </w:t>
                      </w: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HX</w: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-400</w:t>
                      </w:r>
                      <w:r>
                        <w:rPr>
                          <w:rFonts w:hint="eastAsia" w:ascii="宋体" w:hAnsi="宋体" w:cs="宋体"/>
                          <w:b/>
                          <w:bCs/>
                          <w:color w:val="2F5597" w:themeColor="accent1" w:themeShade="BF"/>
                          <w:kern w:val="2"/>
                          <w:sz w:val="24"/>
                          <w:szCs w:val="24"/>
                          <w:lang w:val="en-US" w:eastAsia="zh-CN" w:bidi="ar-SA"/>
                        </w:rPr>
                        <w:t>智能型</w:t>
                      </w:r>
                      <w:r>
                        <w:rPr>
                          <w:rFonts w:hint="eastAsia" w:ascii="宋体" w:hAnsi="宋体" w:eastAsia="宋体" w:cs="宋体"/>
                          <w:b/>
                          <w:bCs/>
                          <w:color w:val="2F5597" w:themeColor="accent1" w:themeShade="BF"/>
                          <w:kern w:val="2"/>
                          <w:sz w:val="24"/>
                          <w:szCs w:val="24"/>
                          <w:lang w:val="en-US" w:eastAsia="zh-CN" w:bidi="ar-SA"/>
                        </w:rPr>
                        <w:t>手持超声波破碎仪</w:t>
                      </w:r>
                    </w:p>
                    <w:p w14:paraId="546D3F74">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txbxContent>
                </v:textbox>
                <w10:wrap type="topAndBottom"/>
              </v:shape>
            </w:pict>
          </mc:Fallback>
        </mc:AlternateContent>
      </w:r>
    </w:p>
    <w:p w14:paraId="22FBA678">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859C9">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14:paraId="4DA859C9">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6192;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14:paraId="5C46CD79">
      <w:pPr>
        <w:spacing w:beforeLines="0" w:afterLines="0" w:line="360" w:lineRule="auto"/>
        <w:ind w:firstLine="480" w:firstLineChars="200"/>
        <w:jc w:val="left"/>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手持型超声波破碎仪是一种利用超声波在液体中产生空化效应的多功能、多用途仪器。用于细胞粉碎、乳化、分散、匀化、提取、消泡、清洗、纳米材料的制备及加速化学反应等。仪器采用液晶显示，有自动和手动（脚踏）两种工作模式，超声时间、功率任意稳定，样品温度检测显示，频率自动跟踪等功能。适用于小体积样品处理的超声波细胞破碎仪。</w:t>
      </w:r>
    </w:p>
    <w:p w14:paraId="51094B62">
      <w:pPr>
        <w:adjustRightInd w:val="0"/>
        <w:spacing w:line="360" w:lineRule="auto"/>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14:paraId="16A453B6">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2336"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4144;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14:paraId="075EA716">
      <w:pPr>
        <w:spacing w:beforeLines="0" w:afterLines="0" w:line="360" w:lineRule="auto"/>
        <w:jc w:val="left"/>
        <w:rPr>
          <w:rStyle w:val="15"/>
          <w:rFonts w:ascii="宋体" w:hAnsi="宋体" w:cs="宋体"/>
          <w:b w:val="0"/>
          <w:bCs w:val="0"/>
          <w:color w:val="2F5597" w:themeColor="accent1" w:themeShade="BF"/>
          <w:kern w:val="0"/>
          <w:sz w:val="24"/>
          <w:szCs w:val="24"/>
          <w:shd w:val="clear" w:color="auto" w:fill="FFFFFF"/>
          <w:lang w:bidi="ar"/>
        </w:rPr>
      </w:pPr>
      <w:r>
        <w:rPr>
          <w:rFonts w:hint="eastAsia" w:ascii="宋体" w:hAnsi="宋体" w:cs="宋体"/>
          <w:color w:val="474747"/>
          <w:kern w:val="0"/>
          <w:sz w:val="24"/>
          <w:szCs w:val="24"/>
        </w:rPr>
        <w:t>1</w:t>
      </w:r>
      <w:r>
        <w:rPr>
          <w:rStyle w:val="15"/>
          <w:rFonts w:hint="eastAsia" w:ascii="宋体" w:hAnsi="宋体" w:cs="宋体"/>
          <w:b w:val="0"/>
          <w:bCs w:val="0"/>
          <w:color w:val="2F5597" w:themeColor="accent1" w:themeShade="BF"/>
          <w:kern w:val="0"/>
          <w:sz w:val="24"/>
          <w:szCs w:val="24"/>
          <w:shd w:val="clear" w:color="auto" w:fill="FFFFFF"/>
          <w:lang w:bidi="ar"/>
        </w:rPr>
        <w:t>、探头与主机一体化设计，小体积，大处理量，结构紧凑，超声波振动系统一体化的设计有着高效、节能、便携等优点；</w:t>
      </w:r>
    </w:p>
    <w:p w14:paraId="2E208DD3">
      <w:pPr>
        <w:spacing w:beforeLines="0" w:afterLines="0" w:line="360" w:lineRule="auto"/>
        <w:jc w:val="left"/>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2、既可以手动控制超声，也可以架子固定超声，特别适合微量或少量的样品处理；</w:t>
      </w:r>
    </w:p>
    <w:p w14:paraId="67541550">
      <w:pPr>
        <w:spacing w:beforeLines="0" w:afterLines="0" w:line="360" w:lineRule="auto"/>
        <w:jc w:val="left"/>
        <w:rPr>
          <w:rFonts w:hint="eastAsia" w:ascii="黑体" w:hAnsi="黑体" w:eastAsia="黑体"/>
          <w:color w:val="5E5F5F"/>
          <w:sz w:val="16"/>
        </w:rPr>
      </w:pPr>
      <w:r>
        <w:rPr>
          <w:rStyle w:val="15"/>
          <w:rFonts w:hint="eastAsia" w:ascii="宋体" w:hAnsi="宋体" w:cs="宋体"/>
          <w:b w:val="0"/>
          <w:bCs w:val="0"/>
          <w:color w:val="2F5597" w:themeColor="accent1" w:themeShade="BF"/>
          <w:kern w:val="0"/>
          <w:sz w:val="24"/>
          <w:szCs w:val="24"/>
          <w:shd w:val="clear" w:color="auto" w:fill="FFFFFF"/>
          <w:lang w:bidi="ar"/>
        </w:rPr>
        <w:t>3、变幅杆采用钛合金材料制作，具有强度高、声速高，耐蚀性好、耐热性高等特点，从而延长仪器的使用寿命。</w:t>
      </w:r>
    </w:p>
    <w:p w14:paraId="3BDD891A">
      <w:pPr>
        <w:widowControl/>
        <w:shd w:val="clear" w:color="auto" w:fill="FFFFFF"/>
        <w:spacing w:line="360" w:lineRule="auto"/>
        <w:jc w:val="left"/>
        <w:textAlignment w:val="center"/>
        <w:rPr>
          <w:rStyle w:val="15"/>
          <w:rFonts w:ascii="宋体" w:hAnsi="宋体" w:cs="宋体"/>
          <w:b w:val="0"/>
          <w:bCs w:val="0"/>
          <w:color w:val="2F5597" w:themeColor="accent1" w:themeShade="BF"/>
          <w:kern w:val="0"/>
          <w:sz w:val="24"/>
          <w:szCs w:val="24"/>
          <w:shd w:val="clear" w:color="auto" w:fill="FFFFFF"/>
          <w:lang w:bidi="ar"/>
        </w:rPr>
      </w:pPr>
    </w:p>
    <w:p w14:paraId="3DDABB1D">
      <w:pPr>
        <w:pStyle w:val="10"/>
        <w:numPr>
          <w:ilvl w:val="0"/>
          <w:numId w:val="1"/>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技术参数</w:t>
      </w:r>
    </w:p>
    <w:tbl>
      <w:tblPr>
        <w:tblStyle w:val="12"/>
        <w:tblW w:w="8522"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4261"/>
        <w:gridCol w:w="4261"/>
      </w:tblGrid>
      <w:tr w14:paraId="0D526D7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shd w:val="clear" w:color="auto" w:fill="FFFFFF" w:themeFill="background1"/>
            <w:vAlign w:val="center"/>
          </w:tcPr>
          <w:p w14:paraId="44BF21B5">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型号</w:t>
            </w:r>
          </w:p>
        </w:tc>
        <w:tc>
          <w:tcPr>
            <w:tcW w:w="4261" w:type="dxa"/>
            <w:tcBorders>
              <w:tl2br w:val="nil"/>
              <w:tr2bl w:val="nil"/>
            </w:tcBorders>
            <w:shd w:val="clear" w:color="auto" w:fill="FFFFFF" w:themeFill="background1"/>
            <w:vAlign w:val="center"/>
          </w:tcPr>
          <w:p w14:paraId="25DAEFB6">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HX-400</w:t>
            </w:r>
          </w:p>
        </w:tc>
      </w:tr>
      <w:tr w14:paraId="514A873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shd w:val="clear" w:color="auto" w:fill="FFFFFF" w:themeFill="background1"/>
            <w:vAlign w:val="center"/>
          </w:tcPr>
          <w:p w14:paraId="46F05D40">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货号</w:t>
            </w:r>
          </w:p>
        </w:tc>
        <w:tc>
          <w:tcPr>
            <w:tcW w:w="4261" w:type="dxa"/>
            <w:tcBorders>
              <w:tl2br w:val="nil"/>
              <w:tr2bl w:val="nil"/>
            </w:tcBorders>
            <w:shd w:val="clear" w:color="auto" w:fill="FFFFFF" w:themeFill="background1"/>
            <w:vAlign w:val="center"/>
          </w:tcPr>
          <w:p w14:paraId="13F60FCE">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1008044001</w:t>
            </w:r>
          </w:p>
        </w:tc>
      </w:tr>
      <w:tr w14:paraId="1E1EA22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shd w:val="clear" w:color="auto" w:fill="FFFFFF" w:themeFill="background1"/>
            <w:vAlign w:val="center"/>
          </w:tcPr>
          <w:p w14:paraId="7E636D61">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功率</w:t>
            </w:r>
          </w:p>
        </w:tc>
        <w:tc>
          <w:tcPr>
            <w:tcW w:w="4261" w:type="dxa"/>
            <w:tcBorders>
              <w:tl2br w:val="nil"/>
              <w:tr2bl w:val="nil"/>
            </w:tcBorders>
            <w:shd w:val="clear" w:color="auto" w:fill="FFFFFF" w:themeFill="background1"/>
            <w:vAlign w:val="center"/>
          </w:tcPr>
          <w:p w14:paraId="76B8FBD1">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4-400W连续可调</w:t>
            </w:r>
          </w:p>
        </w:tc>
      </w:tr>
      <w:tr w14:paraId="328270D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shd w:val="clear" w:color="auto" w:fill="FFFFFF" w:themeFill="background1"/>
            <w:vAlign w:val="center"/>
          </w:tcPr>
          <w:p w14:paraId="1A34A62F">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破碎容量</w:t>
            </w:r>
          </w:p>
        </w:tc>
        <w:tc>
          <w:tcPr>
            <w:tcW w:w="4261" w:type="dxa"/>
            <w:tcBorders>
              <w:tl2br w:val="nil"/>
              <w:tr2bl w:val="nil"/>
            </w:tcBorders>
            <w:shd w:val="clear" w:color="auto" w:fill="FFFFFF" w:themeFill="background1"/>
            <w:vAlign w:val="center"/>
          </w:tcPr>
          <w:p w14:paraId="2CF0CB56">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0.1-300</w:t>
            </w:r>
            <w:r>
              <w:rPr>
                <w:rStyle w:val="15"/>
                <w:rFonts w:hint="eastAsia" w:ascii="宋体" w:hAnsi="宋体" w:cs="宋体"/>
                <w:b w:val="0"/>
                <w:bCs w:val="0"/>
                <w:color w:val="2F5597" w:themeColor="accent1" w:themeShade="BF"/>
                <w:kern w:val="0"/>
                <w:sz w:val="24"/>
                <w:szCs w:val="24"/>
                <w:shd w:val="clear" w:color="auto" w:fill="FFFFFF"/>
                <w:lang w:eastAsia="zh-CN" w:bidi="ar"/>
              </w:rPr>
              <w:t>ml</w:t>
            </w:r>
            <w:r>
              <w:rPr>
                <w:rStyle w:val="15"/>
                <w:rFonts w:hint="eastAsia" w:ascii="宋体" w:hAnsi="宋体" w:cs="宋体"/>
                <w:b w:val="0"/>
                <w:bCs w:val="0"/>
                <w:color w:val="2F5597" w:themeColor="accent1" w:themeShade="BF"/>
                <w:kern w:val="0"/>
                <w:sz w:val="24"/>
                <w:szCs w:val="24"/>
                <w:shd w:val="clear" w:color="auto" w:fill="FFFFFF"/>
                <w:lang w:bidi="ar"/>
              </w:rPr>
              <w:t>(需选配相应的变幅杆)</w:t>
            </w:r>
          </w:p>
        </w:tc>
      </w:tr>
      <w:tr w14:paraId="08E1EBE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shd w:val="clear" w:color="auto" w:fill="FFFFFF" w:themeFill="background1"/>
            <w:vAlign w:val="center"/>
          </w:tcPr>
          <w:p w14:paraId="75840FCF">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显示方式</w:t>
            </w:r>
          </w:p>
        </w:tc>
        <w:tc>
          <w:tcPr>
            <w:tcW w:w="4261" w:type="dxa"/>
            <w:tcBorders>
              <w:tl2br w:val="nil"/>
              <w:tr2bl w:val="nil"/>
            </w:tcBorders>
            <w:shd w:val="clear" w:color="auto" w:fill="FFFFFF" w:themeFill="background1"/>
            <w:vAlign w:val="center"/>
          </w:tcPr>
          <w:p w14:paraId="3E1FDF87">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真彩</w:t>
            </w:r>
            <w:r>
              <w:rPr>
                <w:rStyle w:val="15"/>
                <w:rFonts w:hint="eastAsia" w:ascii="宋体" w:hAnsi="宋体" w:cs="宋体"/>
                <w:b w:val="0"/>
                <w:bCs w:val="0"/>
                <w:color w:val="2F5597" w:themeColor="accent1" w:themeShade="BF"/>
                <w:kern w:val="0"/>
                <w:sz w:val="24"/>
                <w:szCs w:val="24"/>
                <w:shd w:val="clear" w:color="auto" w:fill="FFFFFF"/>
                <w:lang w:val="en-US" w:eastAsia="zh-CN" w:bidi="ar"/>
              </w:rPr>
              <w:t>7寸</w:t>
            </w:r>
            <w:r>
              <w:rPr>
                <w:rStyle w:val="15"/>
                <w:rFonts w:hint="eastAsia" w:ascii="宋体" w:hAnsi="宋体" w:cs="宋体"/>
                <w:b w:val="0"/>
                <w:bCs w:val="0"/>
                <w:color w:val="2F5597" w:themeColor="accent1" w:themeShade="BF"/>
                <w:kern w:val="0"/>
                <w:sz w:val="24"/>
                <w:szCs w:val="24"/>
                <w:shd w:val="clear" w:color="auto" w:fill="FFFFFF"/>
                <w:lang w:bidi="ar"/>
              </w:rPr>
              <w:t>触摸电容屏</w:t>
            </w:r>
            <w:r>
              <w:rPr>
                <w:rStyle w:val="15"/>
                <w:rFonts w:hint="eastAsia" w:ascii="宋体" w:hAnsi="宋体" w:cs="宋体"/>
                <w:b w:val="0"/>
                <w:bCs w:val="0"/>
                <w:color w:val="2F5597" w:themeColor="accent1" w:themeShade="BF"/>
                <w:kern w:val="0"/>
                <w:sz w:val="24"/>
                <w:szCs w:val="24"/>
                <w:shd w:val="clear" w:color="auto" w:fill="FFFFFF"/>
                <w:lang w:val="en-US" w:eastAsia="zh-CN" w:bidi="ar"/>
              </w:rPr>
              <w:t>高清</w:t>
            </w:r>
            <w:r>
              <w:rPr>
                <w:rStyle w:val="15"/>
                <w:rFonts w:hint="eastAsia" w:ascii="宋体" w:hAnsi="宋体" w:cs="宋体"/>
                <w:b w:val="0"/>
                <w:bCs w:val="0"/>
                <w:color w:val="2F5597" w:themeColor="accent1" w:themeShade="BF"/>
                <w:kern w:val="0"/>
                <w:sz w:val="24"/>
                <w:szCs w:val="24"/>
                <w:shd w:val="clear" w:color="auto" w:fill="FFFFFF"/>
                <w:lang w:bidi="ar"/>
              </w:rPr>
              <w:t>显示</w:t>
            </w:r>
          </w:p>
        </w:tc>
      </w:tr>
      <w:tr w14:paraId="42F43A9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vAlign w:val="center"/>
          </w:tcPr>
          <w:p w14:paraId="4B30216C">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单次超声时间</w:t>
            </w:r>
          </w:p>
        </w:tc>
        <w:tc>
          <w:tcPr>
            <w:tcW w:w="4261" w:type="dxa"/>
            <w:tcBorders>
              <w:tl2br w:val="nil"/>
              <w:tr2bl w:val="nil"/>
            </w:tcBorders>
            <w:vAlign w:val="center"/>
          </w:tcPr>
          <w:p w14:paraId="413A77B6">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0.1-99.9S</w:t>
            </w:r>
          </w:p>
        </w:tc>
      </w:tr>
      <w:tr w14:paraId="67B65BD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vAlign w:val="center"/>
          </w:tcPr>
          <w:p w14:paraId="74FF59E4">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单次间隙时间</w:t>
            </w:r>
          </w:p>
        </w:tc>
        <w:tc>
          <w:tcPr>
            <w:tcW w:w="4261" w:type="dxa"/>
            <w:tcBorders>
              <w:tl2br w:val="nil"/>
              <w:tr2bl w:val="nil"/>
            </w:tcBorders>
            <w:vAlign w:val="center"/>
          </w:tcPr>
          <w:p w14:paraId="19F7C4A3">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0.1-99.9S</w:t>
            </w:r>
          </w:p>
        </w:tc>
      </w:tr>
      <w:tr w14:paraId="0C523D1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vAlign w:val="center"/>
          </w:tcPr>
          <w:p w14:paraId="2E03E71B">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总时间（超声+间隙）</w:t>
            </w:r>
          </w:p>
        </w:tc>
        <w:tc>
          <w:tcPr>
            <w:tcW w:w="4261" w:type="dxa"/>
            <w:tcBorders>
              <w:tl2br w:val="nil"/>
              <w:tr2bl w:val="nil"/>
            </w:tcBorders>
            <w:vAlign w:val="center"/>
          </w:tcPr>
          <w:p w14:paraId="50C0286B">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1-99H59M59S</w:t>
            </w:r>
          </w:p>
        </w:tc>
      </w:tr>
      <w:tr w14:paraId="419EC3D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vAlign w:val="center"/>
          </w:tcPr>
          <w:p w14:paraId="1130C1FC">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频率范围</w:t>
            </w:r>
          </w:p>
        </w:tc>
        <w:tc>
          <w:tcPr>
            <w:tcW w:w="4261" w:type="dxa"/>
            <w:tcBorders>
              <w:tl2br w:val="nil"/>
              <w:tr2bl w:val="nil"/>
            </w:tcBorders>
            <w:vAlign w:val="center"/>
          </w:tcPr>
          <w:p w14:paraId="3290C167">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20-30KHz</w:t>
            </w:r>
          </w:p>
        </w:tc>
      </w:tr>
      <w:tr w14:paraId="2044055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vAlign w:val="center"/>
          </w:tcPr>
          <w:p w14:paraId="2BB9A654">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温控范围</w:t>
            </w:r>
          </w:p>
        </w:tc>
        <w:tc>
          <w:tcPr>
            <w:tcW w:w="4261" w:type="dxa"/>
            <w:tcBorders>
              <w:tl2br w:val="nil"/>
              <w:tr2bl w:val="nil"/>
            </w:tcBorders>
            <w:vAlign w:val="center"/>
          </w:tcPr>
          <w:p w14:paraId="3C96EDFB">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0-100度（可选配低温恒温）</w:t>
            </w:r>
          </w:p>
        </w:tc>
      </w:tr>
      <w:tr w14:paraId="5BE40F3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vAlign w:val="center"/>
          </w:tcPr>
          <w:p w14:paraId="22DFB349">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报警功能</w:t>
            </w:r>
          </w:p>
        </w:tc>
        <w:tc>
          <w:tcPr>
            <w:tcW w:w="4261" w:type="dxa"/>
            <w:tcBorders>
              <w:tl2br w:val="nil"/>
              <w:tr2bl w:val="nil"/>
            </w:tcBorders>
            <w:vAlign w:val="center"/>
          </w:tcPr>
          <w:p w14:paraId="360B43C2">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时间、过载、空载、超温</w:t>
            </w:r>
          </w:p>
        </w:tc>
      </w:tr>
      <w:tr w14:paraId="369F793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vAlign w:val="center"/>
          </w:tcPr>
          <w:p w14:paraId="2532C7C6">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随机变幅杆</w:t>
            </w:r>
          </w:p>
        </w:tc>
        <w:tc>
          <w:tcPr>
            <w:tcW w:w="4261" w:type="dxa"/>
            <w:tcBorders>
              <w:tl2br w:val="nil"/>
              <w:tr2bl w:val="nil"/>
            </w:tcBorders>
            <w:vAlign w:val="center"/>
          </w:tcPr>
          <w:p w14:paraId="00EBCFFB">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Φ5(mm)</w:t>
            </w:r>
          </w:p>
        </w:tc>
      </w:tr>
      <w:tr w14:paraId="3DCFA17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vAlign w:val="center"/>
          </w:tcPr>
          <w:p w14:paraId="735D1166">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可选配变幅杆</w:t>
            </w:r>
          </w:p>
        </w:tc>
        <w:tc>
          <w:tcPr>
            <w:tcW w:w="4261" w:type="dxa"/>
            <w:tcBorders>
              <w:tl2br w:val="nil"/>
              <w:tr2bl w:val="nil"/>
            </w:tcBorders>
            <w:vAlign w:val="center"/>
          </w:tcPr>
          <w:p w14:paraId="0D296641">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Φ2、3、5(mm)</w:t>
            </w:r>
          </w:p>
        </w:tc>
      </w:tr>
      <w:tr w14:paraId="5D08853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vAlign w:val="center"/>
          </w:tcPr>
          <w:p w14:paraId="3A166814">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数据储存</w:t>
            </w:r>
          </w:p>
          <w:p w14:paraId="2D4F7ADF">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p>
        </w:tc>
        <w:tc>
          <w:tcPr>
            <w:tcW w:w="4261" w:type="dxa"/>
            <w:tcBorders>
              <w:tl2br w:val="nil"/>
              <w:tr2bl w:val="nil"/>
            </w:tcBorders>
            <w:vAlign w:val="center"/>
          </w:tcPr>
          <w:p w14:paraId="25D5768C">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20组</w:t>
            </w:r>
          </w:p>
          <w:p w14:paraId="181BA213">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p>
        </w:tc>
      </w:tr>
      <w:tr w14:paraId="793B940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4261" w:type="dxa"/>
            <w:tcBorders>
              <w:tl2br w:val="nil"/>
              <w:tr2bl w:val="nil"/>
            </w:tcBorders>
            <w:vAlign w:val="center"/>
          </w:tcPr>
          <w:p w14:paraId="143D245F">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电源（可选配110V)</w:t>
            </w:r>
          </w:p>
        </w:tc>
        <w:tc>
          <w:tcPr>
            <w:tcW w:w="4261" w:type="dxa"/>
            <w:tcBorders>
              <w:tl2br w:val="nil"/>
              <w:tr2bl w:val="nil"/>
            </w:tcBorders>
            <w:vAlign w:val="center"/>
          </w:tcPr>
          <w:p w14:paraId="4BCE0B14">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220V/110V 50Hz/60HZ</w:t>
            </w:r>
          </w:p>
        </w:tc>
      </w:tr>
      <w:tr w14:paraId="422585E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4261" w:type="dxa"/>
            <w:tcBorders>
              <w:tl2br w:val="nil"/>
              <w:tr2bl w:val="nil"/>
            </w:tcBorders>
            <w:vAlign w:val="center"/>
          </w:tcPr>
          <w:p w14:paraId="5B403DCB">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仪器尺寸（深*宽*高）</w:t>
            </w:r>
          </w:p>
        </w:tc>
        <w:tc>
          <w:tcPr>
            <w:tcW w:w="4261" w:type="dxa"/>
            <w:tcBorders>
              <w:tl2br w:val="nil"/>
              <w:tr2bl w:val="nil"/>
            </w:tcBorders>
            <w:vAlign w:val="center"/>
          </w:tcPr>
          <w:p w14:paraId="37EAE993">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427*340*168（mm）</w:t>
            </w:r>
          </w:p>
        </w:tc>
      </w:tr>
      <w:tr w14:paraId="2B1E2F0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4261" w:type="dxa"/>
            <w:tcBorders>
              <w:tl2br w:val="nil"/>
              <w:tr2bl w:val="nil"/>
            </w:tcBorders>
            <w:vAlign w:val="center"/>
          </w:tcPr>
          <w:p w14:paraId="06151B15">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包装尺寸</w:t>
            </w:r>
            <w:r>
              <w:rPr>
                <w:rStyle w:val="15"/>
                <w:rFonts w:hint="eastAsia" w:ascii="宋体" w:hAnsi="宋体" w:cs="宋体"/>
                <w:b w:val="0"/>
                <w:bCs w:val="0"/>
                <w:color w:val="2F5597" w:themeColor="accent1" w:themeShade="BF"/>
                <w:kern w:val="0"/>
                <w:sz w:val="24"/>
                <w:szCs w:val="24"/>
                <w:shd w:val="clear" w:color="auto" w:fill="FFFFFF"/>
                <w:lang w:bidi="ar"/>
              </w:rPr>
              <w:t>（深*宽*高）</w:t>
            </w:r>
          </w:p>
        </w:tc>
        <w:tc>
          <w:tcPr>
            <w:tcW w:w="4261" w:type="dxa"/>
            <w:tcBorders>
              <w:tl2br w:val="nil"/>
              <w:tr2bl w:val="nil"/>
            </w:tcBorders>
            <w:vAlign w:val="center"/>
          </w:tcPr>
          <w:p w14:paraId="48D60869">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470*305*430（mm）</w:t>
            </w:r>
          </w:p>
        </w:tc>
      </w:tr>
      <w:tr w14:paraId="1E7F5C7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4261" w:type="dxa"/>
            <w:tcBorders>
              <w:tl2br w:val="nil"/>
              <w:tr2bl w:val="nil"/>
            </w:tcBorders>
            <w:vAlign w:val="center"/>
          </w:tcPr>
          <w:p w14:paraId="6E3D175B">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净重</w:t>
            </w:r>
          </w:p>
        </w:tc>
        <w:tc>
          <w:tcPr>
            <w:tcW w:w="4261" w:type="dxa"/>
            <w:tcBorders>
              <w:tl2br w:val="nil"/>
              <w:tr2bl w:val="nil"/>
            </w:tcBorders>
            <w:vAlign w:val="center"/>
          </w:tcPr>
          <w:p w14:paraId="504A52A4">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12（kg）</w:t>
            </w:r>
          </w:p>
        </w:tc>
      </w:tr>
      <w:tr w14:paraId="0BC66EE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4261" w:type="dxa"/>
            <w:tcBorders>
              <w:tl2br w:val="nil"/>
              <w:tr2bl w:val="nil"/>
            </w:tcBorders>
            <w:vAlign w:val="center"/>
          </w:tcPr>
          <w:p w14:paraId="24BF9737">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毛重</w:t>
            </w:r>
          </w:p>
        </w:tc>
        <w:tc>
          <w:tcPr>
            <w:tcW w:w="4261" w:type="dxa"/>
            <w:tcBorders>
              <w:tl2br w:val="nil"/>
              <w:tr2bl w:val="nil"/>
            </w:tcBorders>
            <w:vAlign w:val="center"/>
          </w:tcPr>
          <w:p w14:paraId="160926D3">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16（kg）</w:t>
            </w:r>
          </w:p>
        </w:tc>
      </w:tr>
      <w:tr w14:paraId="0748122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4261" w:type="dxa"/>
            <w:tcBorders>
              <w:tl2br w:val="nil"/>
              <w:tr2bl w:val="nil"/>
            </w:tcBorders>
            <w:vAlign w:val="center"/>
          </w:tcPr>
          <w:p w14:paraId="7AA90D60">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指纹式超声波测试按钮</w:t>
            </w:r>
          </w:p>
        </w:tc>
        <w:tc>
          <w:tcPr>
            <w:tcW w:w="4261" w:type="dxa"/>
            <w:tcBorders>
              <w:tl2br w:val="nil"/>
              <w:tr2bl w:val="nil"/>
            </w:tcBorders>
            <w:vAlign w:val="center"/>
          </w:tcPr>
          <w:p w14:paraId="6424C026">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标配</w:t>
            </w:r>
          </w:p>
        </w:tc>
      </w:tr>
      <w:tr w14:paraId="333BB5B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4261" w:type="dxa"/>
            <w:tcBorders>
              <w:tl2br w:val="nil"/>
              <w:tr2bl w:val="nil"/>
            </w:tcBorders>
            <w:vAlign w:val="center"/>
          </w:tcPr>
          <w:p w14:paraId="61048872">
            <w:pPr>
              <w:widowControl/>
              <w:shd w:val="clear" w:color="auto" w:fill="FFFFFF"/>
              <w:spacing w:line="360" w:lineRule="auto"/>
              <w:jc w:val="center"/>
              <w:textAlignment w:val="center"/>
              <w:rPr>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bidi="ar"/>
              </w:rPr>
              <w:t>语音报警和提示功能</w:t>
            </w:r>
          </w:p>
        </w:tc>
        <w:tc>
          <w:tcPr>
            <w:tcW w:w="4261" w:type="dxa"/>
            <w:tcBorders>
              <w:tl2br w:val="nil"/>
              <w:tr2bl w:val="nil"/>
            </w:tcBorders>
            <w:vAlign w:val="center"/>
          </w:tcPr>
          <w:p w14:paraId="2E29D963">
            <w:pPr>
              <w:widowControl/>
              <w:shd w:val="clear" w:color="auto" w:fill="FFFFFF"/>
              <w:spacing w:line="360" w:lineRule="auto"/>
              <w:jc w:val="center"/>
              <w:textAlignment w:val="center"/>
              <w:rPr>
                <w:rFonts w:hint="default" w:ascii="宋体" w:hAnsi="宋体" w:eastAsia="宋体" w:cs="宋体"/>
                <w:b w:val="0"/>
                <w:bCs w:val="0"/>
                <w:color w:val="2F5597" w:themeColor="accent1" w:themeShade="BF"/>
                <w:kern w:val="0"/>
                <w:sz w:val="24"/>
                <w:szCs w:val="24"/>
                <w:shd w:val="clear" w:color="auto" w:fill="FFFFFF"/>
                <w:lang w:val="en-US" w:eastAsia="zh-CN" w:bidi="ar"/>
              </w:rPr>
            </w:pPr>
            <w:r>
              <w:rPr>
                <w:rFonts w:hint="eastAsia" w:ascii="宋体" w:hAnsi="宋体" w:cs="宋体"/>
                <w:b w:val="0"/>
                <w:bCs w:val="0"/>
                <w:color w:val="2F5597" w:themeColor="accent1" w:themeShade="BF"/>
                <w:kern w:val="0"/>
                <w:sz w:val="24"/>
                <w:szCs w:val="24"/>
                <w:shd w:val="clear" w:color="auto" w:fill="FFFFFF"/>
                <w:lang w:val="en-US" w:eastAsia="zh-CN" w:bidi="ar"/>
              </w:rPr>
              <w:t>标配</w:t>
            </w:r>
          </w:p>
        </w:tc>
      </w:tr>
      <w:tr w14:paraId="0CBE4F2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4261" w:type="dxa"/>
            <w:tcBorders>
              <w:tl2br w:val="nil"/>
              <w:tr2bl w:val="nil"/>
            </w:tcBorders>
            <w:vAlign w:val="center"/>
          </w:tcPr>
          <w:p w14:paraId="499041AB">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控制方式</w:t>
            </w:r>
          </w:p>
        </w:tc>
        <w:tc>
          <w:tcPr>
            <w:tcW w:w="4261" w:type="dxa"/>
            <w:tcBorders>
              <w:tl2br w:val="nil"/>
              <w:tr2bl w:val="nil"/>
            </w:tcBorders>
            <w:vAlign w:val="center"/>
          </w:tcPr>
          <w:p w14:paraId="4AAB15C7">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单片机+TFT触控</w:t>
            </w:r>
          </w:p>
        </w:tc>
      </w:tr>
      <w:tr w14:paraId="006B3DD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4261" w:type="dxa"/>
            <w:tcBorders>
              <w:tl2br w:val="nil"/>
              <w:tr2bl w:val="nil"/>
            </w:tcBorders>
            <w:vAlign w:val="center"/>
          </w:tcPr>
          <w:p w14:paraId="5C01482E">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可选配功能</w:t>
            </w:r>
          </w:p>
        </w:tc>
        <w:tc>
          <w:tcPr>
            <w:tcW w:w="4261" w:type="dxa"/>
            <w:tcBorders>
              <w:tl2br w:val="nil"/>
              <w:tr2bl w:val="nil"/>
            </w:tcBorders>
            <w:vAlign w:val="center"/>
          </w:tcPr>
          <w:p w14:paraId="2F2F02E5">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电脑通讯+数据打印</w:t>
            </w:r>
          </w:p>
        </w:tc>
      </w:tr>
    </w:tbl>
    <w:p w14:paraId="7C3FEE60">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4</w:t>
      </w: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、可选配变幅杆</w:t>
      </w:r>
    </w:p>
    <w:p w14:paraId="4E838AA2">
      <w:pPr>
        <w:pStyle w:val="10"/>
        <w:spacing w:before="0" w:beforeAutospacing="0" w:after="0" w:afterAutospacing="0" w:line="360" w:lineRule="auto"/>
        <w:ind w:firstLine="1440" w:firstLineChars="600"/>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drawing>
          <wp:inline distT="0" distB="0" distL="0" distR="0">
            <wp:extent cx="438150" cy="1337945"/>
            <wp:effectExtent l="0" t="0" r="0" b="1460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7"/>
                    <a:stretch>
                      <a:fillRect/>
                    </a:stretch>
                  </pic:blipFill>
                  <pic:spPr>
                    <a:xfrm>
                      <a:off x="0" y="0"/>
                      <a:ext cx="438150" cy="1337945"/>
                    </a:xfrm>
                    <a:prstGeom prst="rect">
                      <a:avLst/>
                    </a:prstGeom>
                  </pic:spPr>
                </pic:pic>
              </a:graphicData>
            </a:graphic>
          </wp:inline>
        </w:drawing>
      </w:r>
      <w:r>
        <w:rPr>
          <w:rFonts w:hint="eastAsia"/>
        </w:rPr>
        <w:t xml:space="preserve">      </w:t>
      </w:r>
      <w:r>
        <w:t xml:space="preserve"> </w:t>
      </w:r>
      <w:r>
        <w:rPr>
          <w:rFonts w:hint="eastAsia"/>
        </w:rPr>
        <w:t xml:space="preserve">      </w:t>
      </w:r>
      <w:r>
        <w:drawing>
          <wp:inline distT="0" distB="0" distL="0" distR="0">
            <wp:extent cx="381000" cy="1277620"/>
            <wp:effectExtent l="0" t="0" r="0" b="1778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8"/>
                    <a:stretch>
                      <a:fillRect/>
                    </a:stretch>
                  </pic:blipFill>
                  <pic:spPr>
                    <a:xfrm>
                      <a:off x="0" y="0"/>
                      <a:ext cx="381000" cy="1277620"/>
                    </a:xfrm>
                    <a:prstGeom prst="rect">
                      <a:avLst/>
                    </a:prstGeom>
                  </pic:spPr>
                </pic:pic>
              </a:graphicData>
            </a:graphic>
          </wp:inline>
        </w:drawing>
      </w:r>
      <w:r>
        <w:rPr>
          <w:rFonts w:hint="eastAsia"/>
        </w:rPr>
        <w:t xml:space="preserve">          </w:t>
      </w:r>
      <w:r>
        <w:drawing>
          <wp:inline distT="0" distB="0" distL="0" distR="0">
            <wp:extent cx="409575" cy="1299210"/>
            <wp:effectExtent l="0" t="0" r="9525" b="1524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9"/>
                    <a:stretch>
                      <a:fillRect/>
                    </a:stretch>
                  </pic:blipFill>
                  <pic:spPr>
                    <a:xfrm>
                      <a:off x="0" y="0"/>
                      <a:ext cx="409575" cy="1299210"/>
                    </a:xfrm>
                    <a:prstGeom prst="rect">
                      <a:avLst/>
                    </a:prstGeom>
                  </pic:spPr>
                </pic:pic>
              </a:graphicData>
            </a:graphic>
          </wp:inline>
        </w:drawing>
      </w:r>
      <w:r>
        <w:rPr>
          <w:rFonts w:hint="eastAsia"/>
        </w:rPr>
        <w:t xml:space="preserve"> </w:t>
      </w:r>
    </w:p>
    <w:tbl>
      <w:tblPr>
        <w:tblStyle w:val="12"/>
        <w:tblW w:w="8181"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1985"/>
        <w:gridCol w:w="1985"/>
        <w:gridCol w:w="1985"/>
        <w:gridCol w:w="2226"/>
      </w:tblGrid>
      <w:tr w14:paraId="076C566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14:paraId="4BE5FB42">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变幅杆</w:t>
            </w:r>
          </w:p>
        </w:tc>
        <w:tc>
          <w:tcPr>
            <w:tcW w:w="1985" w:type="dxa"/>
          </w:tcPr>
          <w:p w14:paraId="4277D92B">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直径</w:t>
            </w:r>
            <w:r>
              <w:rPr>
                <w:rFonts w:ascii="宋体" w:hAnsi="宋体" w:cs="宋体"/>
                <w:color w:val="2F5597" w:themeColor="accent1" w:themeShade="BF"/>
                <w:sz w:val="24"/>
                <w:szCs w:val="24"/>
              </w:rPr>
              <w:t>mm</w:t>
            </w:r>
          </w:p>
        </w:tc>
        <w:tc>
          <w:tcPr>
            <w:tcW w:w="1985" w:type="dxa"/>
          </w:tcPr>
          <w:p w14:paraId="50CE0821">
            <w:pPr>
              <w:widowControl/>
              <w:shd w:val="clear" w:color="auto" w:fill="FFFFFF"/>
              <w:spacing w:line="360" w:lineRule="auto"/>
              <w:jc w:val="center"/>
              <w:textAlignment w:val="center"/>
              <w:rPr>
                <w:rFonts w:hint="eastAsia" w:ascii="宋体" w:hAnsi="宋体" w:eastAsia="宋体" w:cs="宋体"/>
                <w:color w:val="2F5597" w:themeColor="accent1" w:themeShade="BF"/>
                <w:sz w:val="24"/>
                <w:szCs w:val="24"/>
                <w:lang w:eastAsia="zh-CN"/>
              </w:rPr>
            </w:pPr>
            <w:r>
              <w:rPr>
                <w:rFonts w:hint="eastAsia" w:ascii="宋体" w:hAnsi="宋体" w:cs="宋体"/>
                <w:color w:val="2F5597" w:themeColor="accent1" w:themeShade="BF"/>
                <w:sz w:val="24"/>
                <w:szCs w:val="24"/>
              </w:rPr>
              <w:t>处理量</w:t>
            </w:r>
            <w:r>
              <w:rPr>
                <w:rFonts w:hint="eastAsia" w:ascii="宋体" w:hAnsi="宋体" w:cs="宋体"/>
                <w:color w:val="2F5597" w:themeColor="accent1" w:themeShade="BF"/>
                <w:sz w:val="24"/>
                <w:szCs w:val="24"/>
                <w:lang w:eastAsia="zh-CN"/>
              </w:rPr>
              <w:t>ml</w:t>
            </w:r>
          </w:p>
        </w:tc>
        <w:tc>
          <w:tcPr>
            <w:tcW w:w="2226" w:type="dxa"/>
          </w:tcPr>
          <w:p w14:paraId="58FF435E">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功率比</w:t>
            </w:r>
            <w:r>
              <w:rPr>
                <w:rFonts w:ascii="宋体" w:hAnsi="宋体" w:cs="宋体"/>
                <w:color w:val="2F5597" w:themeColor="accent1" w:themeShade="BF"/>
                <w:sz w:val="24"/>
                <w:szCs w:val="24"/>
              </w:rPr>
              <w:t>%</w:t>
            </w:r>
          </w:p>
        </w:tc>
      </w:tr>
      <w:tr w14:paraId="3705BF9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14:paraId="2830844A">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①</w:t>
            </w:r>
          </w:p>
        </w:tc>
        <w:tc>
          <w:tcPr>
            <w:tcW w:w="1985" w:type="dxa"/>
          </w:tcPr>
          <w:p w14:paraId="1AA15DAC">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Φ2</w:t>
            </w:r>
          </w:p>
        </w:tc>
        <w:tc>
          <w:tcPr>
            <w:tcW w:w="1985" w:type="dxa"/>
          </w:tcPr>
          <w:p w14:paraId="3570B83C">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0.2-5</w:t>
            </w:r>
          </w:p>
        </w:tc>
        <w:tc>
          <w:tcPr>
            <w:tcW w:w="2226" w:type="dxa"/>
          </w:tcPr>
          <w:p w14:paraId="4CE32066">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1-35</w:t>
            </w:r>
          </w:p>
        </w:tc>
      </w:tr>
      <w:tr w14:paraId="2C35395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14:paraId="396322A6">
            <w:pPr>
              <w:widowControl/>
              <w:shd w:val="clear" w:color="auto" w:fill="FFFFFF"/>
              <w:spacing w:line="360" w:lineRule="auto"/>
              <w:jc w:val="center"/>
              <w:textAlignment w:val="center"/>
              <w:rPr>
                <w:rFonts w:ascii="Cambria Math" w:hAnsi="Cambria Math" w:cs="Cambria Math"/>
                <w:color w:val="2F5597" w:themeColor="accent1" w:themeShade="BF"/>
                <w:sz w:val="24"/>
                <w:szCs w:val="24"/>
              </w:rPr>
            </w:pPr>
            <w:r>
              <w:rPr>
                <w:rFonts w:hint="eastAsia" w:ascii="Cambria Math" w:hAnsi="Cambria Math" w:cs="Cambria Math"/>
                <w:color w:val="2F5597" w:themeColor="accent1" w:themeShade="BF"/>
                <w:sz w:val="24"/>
                <w:szCs w:val="24"/>
              </w:rPr>
              <w:t>②</w:t>
            </w:r>
          </w:p>
        </w:tc>
        <w:tc>
          <w:tcPr>
            <w:tcW w:w="1985" w:type="dxa"/>
          </w:tcPr>
          <w:p w14:paraId="7BE88C9E">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3</w:t>
            </w:r>
          </w:p>
        </w:tc>
        <w:tc>
          <w:tcPr>
            <w:tcW w:w="1985" w:type="dxa"/>
          </w:tcPr>
          <w:p w14:paraId="30053DBB">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3-10</w:t>
            </w:r>
          </w:p>
        </w:tc>
        <w:tc>
          <w:tcPr>
            <w:tcW w:w="2226" w:type="dxa"/>
          </w:tcPr>
          <w:p w14:paraId="012B1EFF">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1-45</w:t>
            </w:r>
          </w:p>
        </w:tc>
      </w:tr>
      <w:tr w14:paraId="62B6FE0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14:paraId="7508C667">
            <w:pPr>
              <w:widowControl/>
              <w:shd w:val="clear" w:color="auto" w:fill="FFFFFF"/>
              <w:spacing w:line="360" w:lineRule="auto"/>
              <w:jc w:val="center"/>
              <w:textAlignment w:val="center"/>
              <w:rPr>
                <w:rFonts w:hint="eastAsia" w:ascii="Cambria Math" w:hAnsi="Cambria Math" w:cs="Cambria Math"/>
                <w:color w:val="2F5597" w:themeColor="accent1" w:themeShade="BF"/>
                <w:sz w:val="24"/>
                <w:szCs w:val="24"/>
              </w:rPr>
            </w:pPr>
            <w:r>
              <w:rPr>
                <w:rFonts w:hint="eastAsia" w:ascii="Cambria Math" w:hAnsi="Cambria Math" w:cs="Cambria Math"/>
                <w:color w:val="2F5597" w:themeColor="accent1" w:themeShade="BF"/>
                <w:sz w:val="24"/>
                <w:szCs w:val="24"/>
              </w:rPr>
              <w:t>③</w:t>
            </w:r>
          </w:p>
        </w:tc>
        <w:tc>
          <w:tcPr>
            <w:tcW w:w="1985" w:type="dxa"/>
          </w:tcPr>
          <w:p w14:paraId="42789844">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Φ5</w:t>
            </w:r>
          </w:p>
        </w:tc>
        <w:tc>
          <w:tcPr>
            <w:tcW w:w="1985" w:type="dxa"/>
          </w:tcPr>
          <w:p w14:paraId="584CA094">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5-100</w:t>
            </w:r>
          </w:p>
        </w:tc>
        <w:tc>
          <w:tcPr>
            <w:tcW w:w="2226" w:type="dxa"/>
          </w:tcPr>
          <w:p w14:paraId="45318584">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1-60</w:t>
            </w:r>
          </w:p>
        </w:tc>
      </w:tr>
    </w:tbl>
    <w:p w14:paraId="28B05083">
      <w:pPr>
        <w:pStyle w:val="10"/>
        <w:numPr>
          <w:ilvl w:val="0"/>
          <w:numId w:val="0"/>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bookmarkStart w:id="0" w:name="_GoBack"/>
      <w:bookmarkEnd w:id="0"/>
    </w:p>
    <w:p w14:paraId="1F98207D">
      <w:pPr>
        <w:pStyle w:val="10"/>
        <w:numPr>
          <w:ilvl w:val="0"/>
          <w:numId w:val="0"/>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5、</w:t>
      </w: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装箱清单</w:t>
      </w:r>
    </w:p>
    <w:p w14:paraId="03078992">
      <w:pPr>
        <w:pStyle w:val="10"/>
        <w:spacing w:before="0" w:beforeAutospacing="0" w:after="0" w:afterAutospacing="0" w:line="360" w:lineRule="auto"/>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p>
    <w:tbl>
      <w:tblPr>
        <w:tblStyle w:val="12"/>
        <w:tblpPr w:leftFromText="180" w:rightFromText="180" w:vertAnchor="text" w:horzAnchor="page" w:tblpX="1815" w:tblpY="101"/>
        <w:tblOverlap w:val="never"/>
        <w:tblW w:w="8529"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4198"/>
        <w:gridCol w:w="4331"/>
      </w:tblGrid>
      <w:tr w14:paraId="3D026F8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198" w:type="dxa"/>
            <w:tcBorders>
              <w:tl2br w:val="nil"/>
              <w:tr2bl w:val="nil"/>
            </w:tcBorders>
            <w:vAlign w:val="center"/>
          </w:tcPr>
          <w:p w14:paraId="6AE1FEF7">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名称</w:t>
            </w:r>
          </w:p>
        </w:tc>
        <w:tc>
          <w:tcPr>
            <w:tcW w:w="4331" w:type="dxa"/>
            <w:tcBorders>
              <w:tl2br w:val="nil"/>
              <w:tr2bl w:val="nil"/>
            </w:tcBorders>
            <w:vAlign w:val="center"/>
          </w:tcPr>
          <w:p w14:paraId="0C79BB81">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数量</w:t>
            </w:r>
          </w:p>
        </w:tc>
      </w:tr>
      <w:tr w14:paraId="20375CE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198" w:type="dxa"/>
            <w:tcBorders>
              <w:tl2br w:val="nil"/>
              <w:tr2bl w:val="nil"/>
            </w:tcBorders>
            <w:vAlign w:val="center"/>
          </w:tcPr>
          <w:p w14:paraId="64723CBD">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 xml:space="preserve">超声波发生器                         </w:t>
            </w:r>
          </w:p>
        </w:tc>
        <w:tc>
          <w:tcPr>
            <w:tcW w:w="4331" w:type="dxa"/>
            <w:tcBorders>
              <w:tl2br w:val="nil"/>
              <w:tr2bl w:val="nil"/>
            </w:tcBorders>
            <w:vAlign w:val="center"/>
          </w:tcPr>
          <w:p w14:paraId="5CCD6289">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1台</w:t>
            </w:r>
          </w:p>
        </w:tc>
      </w:tr>
      <w:tr w14:paraId="5F30B49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198" w:type="dxa"/>
            <w:tcBorders>
              <w:tl2br w:val="nil"/>
              <w:tr2bl w:val="nil"/>
            </w:tcBorders>
            <w:vAlign w:val="center"/>
          </w:tcPr>
          <w:p w14:paraId="16C94B52">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 xml:space="preserve">振动系统（换能器组件+5MM）　　        </w:t>
            </w:r>
          </w:p>
        </w:tc>
        <w:tc>
          <w:tcPr>
            <w:tcW w:w="4331" w:type="dxa"/>
            <w:tcBorders>
              <w:tl2br w:val="nil"/>
              <w:tr2bl w:val="nil"/>
            </w:tcBorders>
            <w:vAlign w:val="center"/>
          </w:tcPr>
          <w:p w14:paraId="57DBC2B7">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1套</w:t>
            </w:r>
          </w:p>
          <w:p w14:paraId="5E1F2A6E">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p>
        </w:tc>
      </w:tr>
      <w:tr w14:paraId="5627AA4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198" w:type="dxa"/>
            <w:tcBorders>
              <w:tl2br w:val="nil"/>
              <w:tr2bl w:val="nil"/>
            </w:tcBorders>
            <w:vAlign w:val="center"/>
          </w:tcPr>
          <w:p w14:paraId="60868A39">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 xml:space="preserve">夹具                                 </w:t>
            </w:r>
          </w:p>
        </w:tc>
        <w:tc>
          <w:tcPr>
            <w:tcW w:w="4331" w:type="dxa"/>
            <w:tcBorders>
              <w:tl2br w:val="nil"/>
              <w:tr2bl w:val="nil"/>
            </w:tcBorders>
            <w:vAlign w:val="center"/>
          </w:tcPr>
          <w:p w14:paraId="1C081072">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2只</w:t>
            </w:r>
          </w:p>
        </w:tc>
      </w:tr>
      <w:tr w14:paraId="6353AD3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198" w:type="dxa"/>
            <w:tcBorders>
              <w:tl2br w:val="nil"/>
              <w:tr2bl w:val="nil"/>
            </w:tcBorders>
            <w:vAlign w:val="center"/>
          </w:tcPr>
          <w:p w14:paraId="5713999C">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 xml:space="preserve">固定支架                              </w:t>
            </w:r>
          </w:p>
        </w:tc>
        <w:tc>
          <w:tcPr>
            <w:tcW w:w="4331" w:type="dxa"/>
            <w:tcBorders>
              <w:tl2br w:val="nil"/>
              <w:tr2bl w:val="nil"/>
            </w:tcBorders>
            <w:vAlign w:val="center"/>
          </w:tcPr>
          <w:p w14:paraId="54D977B0">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1只</w:t>
            </w:r>
          </w:p>
          <w:p w14:paraId="1D82AA04">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p>
        </w:tc>
      </w:tr>
      <w:tr w14:paraId="13200EC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198" w:type="dxa"/>
            <w:tcBorders>
              <w:tl2br w:val="nil"/>
              <w:tr2bl w:val="nil"/>
            </w:tcBorders>
            <w:vAlign w:val="center"/>
          </w:tcPr>
          <w:p w14:paraId="742391D4">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 xml:space="preserve">电源线                                </w:t>
            </w:r>
          </w:p>
        </w:tc>
        <w:tc>
          <w:tcPr>
            <w:tcW w:w="4331" w:type="dxa"/>
            <w:tcBorders>
              <w:tl2br w:val="nil"/>
              <w:tr2bl w:val="nil"/>
            </w:tcBorders>
            <w:vAlign w:val="center"/>
          </w:tcPr>
          <w:p w14:paraId="555ECEFD">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1条</w:t>
            </w:r>
          </w:p>
          <w:p w14:paraId="0A3BCB3C">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p>
        </w:tc>
      </w:tr>
      <w:tr w14:paraId="41A1E2E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198" w:type="dxa"/>
            <w:tcBorders>
              <w:tl2br w:val="nil"/>
              <w:tr2bl w:val="nil"/>
            </w:tcBorders>
            <w:vAlign w:val="center"/>
          </w:tcPr>
          <w:p w14:paraId="0352F142">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 xml:space="preserve">备用保险丝（电源线袋内）  　          </w:t>
            </w:r>
          </w:p>
        </w:tc>
        <w:tc>
          <w:tcPr>
            <w:tcW w:w="4331" w:type="dxa"/>
            <w:tcBorders>
              <w:tl2br w:val="nil"/>
              <w:tr2bl w:val="nil"/>
            </w:tcBorders>
            <w:vAlign w:val="center"/>
          </w:tcPr>
          <w:p w14:paraId="44D66452">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2条</w:t>
            </w:r>
          </w:p>
          <w:p w14:paraId="5AAA4F2A">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p>
        </w:tc>
      </w:tr>
      <w:tr w14:paraId="050362D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198" w:type="dxa"/>
            <w:tcBorders>
              <w:tl2br w:val="nil"/>
              <w:tr2bl w:val="nil"/>
            </w:tcBorders>
            <w:vAlign w:val="center"/>
          </w:tcPr>
          <w:p w14:paraId="4D897656">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 xml:space="preserve">使用说明书                           </w:t>
            </w:r>
          </w:p>
        </w:tc>
        <w:tc>
          <w:tcPr>
            <w:tcW w:w="4331" w:type="dxa"/>
            <w:tcBorders>
              <w:tl2br w:val="nil"/>
              <w:tr2bl w:val="nil"/>
            </w:tcBorders>
            <w:vAlign w:val="center"/>
          </w:tcPr>
          <w:p w14:paraId="631420EE">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 xml:space="preserve"> 1份</w:t>
            </w:r>
          </w:p>
          <w:p w14:paraId="07B9B3AD">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p>
        </w:tc>
      </w:tr>
      <w:tr w14:paraId="44B32A3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198" w:type="dxa"/>
            <w:tcBorders>
              <w:tl2br w:val="nil"/>
              <w:tr2bl w:val="nil"/>
            </w:tcBorders>
            <w:vAlign w:val="center"/>
          </w:tcPr>
          <w:p w14:paraId="39DAD75C">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 xml:space="preserve">保修卡(含合格证)                     </w:t>
            </w:r>
          </w:p>
        </w:tc>
        <w:tc>
          <w:tcPr>
            <w:tcW w:w="4331" w:type="dxa"/>
            <w:tcBorders>
              <w:tl2br w:val="nil"/>
              <w:tr2bl w:val="nil"/>
            </w:tcBorders>
            <w:vAlign w:val="center"/>
          </w:tcPr>
          <w:p w14:paraId="5514C746">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1份</w:t>
            </w:r>
          </w:p>
        </w:tc>
      </w:tr>
      <w:tr w14:paraId="66F5250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198" w:type="dxa"/>
            <w:tcBorders>
              <w:tl2br w:val="nil"/>
              <w:tr2bl w:val="nil"/>
            </w:tcBorders>
            <w:vAlign w:val="center"/>
          </w:tcPr>
          <w:p w14:paraId="790DEB38">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 xml:space="preserve">温度探头（电源线袋内）               </w:t>
            </w:r>
          </w:p>
        </w:tc>
        <w:tc>
          <w:tcPr>
            <w:tcW w:w="4331" w:type="dxa"/>
            <w:tcBorders>
              <w:tl2br w:val="nil"/>
              <w:tr2bl w:val="nil"/>
            </w:tcBorders>
            <w:vAlign w:val="center"/>
          </w:tcPr>
          <w:p w14:paraId="3A4F376F">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1只</w:t>
            </w:r>
          </w:p>
        </w:tc>
      </w:tr>
    </w:tbl>
    <w:p w14:paraId="40281812">
      <w:pPr>
        <w:pStyle w:val="10"/>
        <w:shd w:val="clear" w:color="auto" w:fill="FFFFFF"/>
        <w:spacing w:before="0" w:beforeAutospacing="0" w:after="0" w:afterAutospacing="0" w:line="645" w:lineRule="atLeast"/>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7F3B7">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121E6703">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4BB60E3C">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EB650">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69CDEB67">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0F0D2A8E">
    <w:pPr>
      <w:jc w:val="center"/>
      <w:rPr>
        <w:sz w:val="24"/>
        <w:szCs w:val="24"/>
      </w:rPr>
    </w:pPr>
    <w:r>
      <w:rPr>
        <w:rFonts w:hint="eastAsia"/>
        <w:b/>
        <w:bCs/>
        <w:color w:val="203864" w:themeColor="accent1" w:themeShade="80"/>
        <w:kern w:val="0"/>
      </w:rPr>
      <w:t>Shanghai Huxi Industry Co., Ltd.,</w:t>
    </w:r>
  </w:p>
  <w:p w14:paraId="0DB73233">
    <w:pPr>
      <w:pStyle w:val="9"/>
      <w:jc w:val="both"/>
    </w:pPr>
  </w:p>
  <w:p w14:paraId="73A359B3">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2BBCF6"/>
    <w:multiLevelType w:val="singleLevel"/>
    <w:tmpl w:val="D62BBCF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0A30B6"/>
    <w:rsid w:val="00000422"/>
    <w:rsid w:val="0002414F"/>
    <w:rsid w:val="00091A92"/>
    <w:rsid w:val="000A30B6"/>
    <w:rsid w:val="000F0EE7"/>
    <w:rsid w:val="001C2F0D"/>
    <w:rsid w:val="0020067A"/>
    <w:rsid w:val="00227827"/>
    <w:rsid w:val="00262F28"/>
    <w:rsid w:val="002B6FFF"/>
    <w:rsid w:val="002C777E"/>
    <w:rsid w:val="002F2DF2"/>
    <w:rsid w:val="002F500E"/>
    <w:rsid w:val="002F74BD"/>
    <w:rsid w:val="00343CBD"/>
    <w:rsid w:val="003775A9"/>
    <w:rsid w:val="003D498D"/>
    <w:rsid w:val="004A2EE0"/>
    <w:rsid w:val="004E7E09"/>
    <w:rsid w:val="00535C95"/>
    <w:rsid w:val="00580C1D"/>
    <w:rsid w:val="00596893"/>
    <w:rsid w:val="005A5BBC"/>
    <w:rsid w:val="0069114D"/>
    <w:rsid w:val="00741072"/>
    <w:rsid w:val="007650E0"/>
    <w:rsid w:val="007A51F4"/>
    <w:rsid w:val="00854961"/>
    <w:rsid w:val="008B2ECB"/>
    <w:rsid w:val="00955DE4"/>
    <w:rsid w:val="0098299C"/>
    <w:rsid w:val="00990FAD"/>
    <w:rsid w:val="009E7CF6"/>
    <w:rsid w:val="00A4672B"/>
    <w:rsid w:val="00A94E0D"/>
    <w:rsid w:val="00AA4A1B"/>
    <w:rsid w:val="00AA5CBF"/>
    <w:rsid w:val="00B61697"/>
    <w:rsid w:val="00B839ED"/>
    <w:rsid w:val="00BD42F1"/>
    <w:rsid w:val="00C27C2B"/>
    <w:rsid w:val="00C47428"/>
    <w:rsid w:val="00C83139"/>
    <w:rsid w:val="00DA0404"/>
    <w:rsid w:val="00DA6A09"/>
    <w:rsid w:val="00E15CAB"/>
    <w:rsid w:val="00E2271A"/>
    <w:rsid w:val="00E54BE6"/>
    <w:rsid w:val="00E610B3"/>
    <w:rsid w:val="00E62DD8"/>
    <w:rsid w:val="00E900EE"/>
    <w:rsid w:val="00EC783E"/>
    <w:rsid w:val="00EF22FA"/>
    <w:rsid w:val="00EF585C"/>
    <w:rsid w:val="00F64BED"/>
    <w:rsid w:val="00FE197F"/>
    <w:rsid w:val="017212D3"/>
    <w:rsid w:val="02AA71DB"/>
    <w:rsid w:val="02D933F4"/>
    <w:rsid w:val="02F87F3E"/>
    <w:rsid w:val="03F258F4"/>
    <w:rsid w:val="04E918A9"/>
    <w:rsid w:val="0692734F"/>
    <w:rsid w:val="07553E41"/>
    <w:rsid w:val="091F1204"/>
    <w:rsid w:val="0A115A80"/>
    <w:rsid w:val="0A184A29"/>
    <w:rsid w:val="0A366F57"/>
    <w:rsid w:val="0A965B96"/>
    <w:rsid w:val="0B820AFC"/>
    <w:rsid w:val="0D4F4BE6"/>
    <w:rsid w:val="10C02CE0"/>
    <w:rsid w:val="10E60B82"/>
    <w:rsid w:val="11385EB2"/>
    <w:rsid w:val="117D1E52"/>
    <w:rsid w:val="12F323D9"/>
    <w:rsid w:val="13377D20"/>
    <w:rsid w:val="139F7D75"/>
    <w:rsid w:val="162626F1"/>
    <w:rsid w:val="163338FF"/>
    <w:rsid w:val="167836D1"/>
    <w:rsid w:val="16855545"/>
    <w:rsid w:val="16A71820"/>
    <w:rsid w:val="18711AC3"/>
    <w:rsid w:val="1886336C"/>
    <w:rsid w:val="1976192B"/>
    <w:rsid w:val="1A4C7833"/>
    <w:rsid w:val="1AB80B3F"/>
    <w:rsid w:val="1B871C86"/>
    <w:rsid w:val="1C4A28F1"/>
    <w:rsid w:val="1C4A2CF5"/>
    <w:rsid w:val="1C8D4EFF"/>
    <w:rsid w:val="1D792D84"/>
    <w:rsid w:val="1E486378"/>
    <w:rsid w:val="1F717EE1"/>
    <w:rsid w:val="1F995798"/>
    <w:rsid w:val="2159429D"/>
    <w:rsid w:val="21634EF4"/>
    <w:rsid w:val="216A23E2"/>
    <w:rsid w:val="21F83F3A"/>
    <w:rsid w:val="22A75183"/>
    <w:rsid w:val="22B91F35"/>
    <w:rsid w:val="22E601DB"/>
    <w:rsid w:val="23243285"/>
    <w:rsid w:val="241D3C4F"/>
    <w:rsid w:val="246A0583"/>
    <w:rsid w:val="24A744ED"/>
    <w:rsid w:val="24AE6CFC"/>
    <w:rsid w:val="27671918"/>
    <w:rsid w:val="295A600F"/>
    <w:rsid w:val="2A602115"/>
    <w:rsid w:val="2A847618"/>
    <w:rsid w:val="2AC31D90"/>
    <w:rsid w:val="2BE36FED"/>
    <w:rsid w:val="2C2B4AD0"/>
    <w:rsid w:val="2C936415"/>
    <w:rsid w:val="2CBC35B2"/>
    <w:rsid w:val="2D270418"/>
    <w:rsid w:val="2D9E504D"/>
    <w:rsid w:val="2DBB4423"/>
    <w:rsid w:val="2E5E5B1C"/>
    <w:rsid w:val="30667F5E"/>
    <w:rsid w:val="32494755"/>
    <w:rsid w:val="34121BAC"/>
    <w:rsid w:val="348346E6"/>
    <w:rsid w:val="348E7F12"/>
    <w:rsid w:val="35B92EB0"/>
    <w:rsid w:val="36585CBC"/>
    <w:rsid w:val="36E10A24"/>
    <w:rsid w:val="39DD50C1"/>
    <w:rsid w:val="3A045A6B"/>
    <w:rsid w:val="3A542ACC"/>
    <w:rsid w:val="3ABF1760"/>
    <w:rsid w:val="3C5E63A4"/>
    <w:rsid w:val="3D976673"/>
    <w:rsid w:val="3DA6127B"/>
    <w:rsid w:val="3DEB6E30"/>
    <w:rsid w:val="3E2B5E06"/>
    <w:rsid w:val="405D6DCB"/>
    <w:rsid w:val="40764144"/>
    <w:rsid w:val="410B44C7"/>
    <w:rsid w:val="43EA5F2F"/>
    <w:rsid w:val="442711AA"/>
    <w:rsid w:val="45505D9D"/>
    <w:rsid w:val="48A30A85"/>
    <w:rsid w:val="498B526A"/>
    <w:rsid w:val="4A527F2C"/>
    <w:rsid w:val="4AA4627F"/>
    <w:rsid w:val="4ADC76DB"/>
    <w:rsid w:val="4AFE0752"/>
    <w:rsid w:val="4BAC2F83"/>
    <w:rsid w:val="4CA81950"/>
    <w:rsid w:val="4D4E77F2"/>
    <w:rsid w:val="4E931B10"/>
    <w:rsid w:val="4FD73045"/>
    <w:rsid w:val="51C771E3"/>
    <w:rsid w:val="51F9487C"/>
    <w:rsid w:val="52EE746C"/>
    <w:rsid w:val="5452446D"/>
    <w:rsid w:val="563C7D3B"/>
    <w:rsid w:val="56643B8F"/>
    <w:rsid w:val="567A4548"/>
    <w:rsid w:val="576F688D"/>
    <w:rsid w:val="5826783E"/>
    <w:rsid w:val="58926505"/>
    <w:rsid w:val="58C6092D"/>
    <w:rsid w:val="58F34817"/>
    <w:rsid w:val="591C6583"/>
    <w:rsid w:val="594D1214"/>
    <w:rsid w:val="59AB3574"/>
    <w:rsid w:val="5B655BF2"/>
    <w:rsid w:val="5BDA755D"/>
    <w:rsid w:val="5C5740D0"/>
    <w:rsid w:val="5DDC6E97"/>
    <w:rsid w:val="607225C9"/>
    <w:rsid w:val="608B6872"/>
    <w:rsid w:val="60F559F5"/>
    <w:rsid w:val="61FA2450"/>
    <w:rsid w:val="624F31B6"/>
    <w:rsid w:val="626F460D"/>
    <w:rsid w:val="62737F03"/>
    <w:rsid w:val="62BD7680"/>
    <w:rsid w:val="63B80222"/>
    <w:rsid w:val="646F692F"/>
    <w:rsid w:val="64BB3B0A"/>
    <w:rsid w:val="65173864"/>
    <w:rsid w:val="67074C35"/>
    <w:rsid w:val="67B86FD5"/>
    <w:rsid w:val="68CC736B"/>
    <w:rsid w:val="69A05A18"/>
    <w:rsid w:val="6AB4227F"/>
    <w:rsid w:val="6B3B6611"/>
    <w:rsid w:val="6B5251F4"/>
    <w:rsid w:val="6B6C7258"/>
    <w:rsid w:val="6BA7011A"/>
    <w:rsid w:val="6C61161E"/>
    <w:rsid w:val="6DFB560B"/>
    <w:rsid w:val="6F17421F"/>
    <w:rsid w:val="6F7B3153"/>
    <w:rsid w:val="6F975B11"/>
    <w:rsid w:val="71E561F0"/>
    <w:rsid w:val="73587C07"/>
    <w:rsid w:val="737F1A45"/>
    <w:rsid w:val="73974732"/>
    <w:rsid w:val="73E61CE3"/>
    <w:rsid w:val="74A64C8E"/>
    <w:rsid w:val="75EA64FF"/>
    <w:rsid w:val="76E353C5"/>
    <w:rsid w:val="77C15694"/>
    <w:rsid w:val="78323E75"/>
    <w:rsid w:val="78F84331"/>
    <w:rsid w:val="79FB6B36"/>
    <w:rsid w:val="7A61311F"/>
    <w:rsid w:val="7A664B08"/>
    <w:rsid w:val="7AA2317C"/>
    <w:rsid w:val="7B965710"/>
    <w:rsid w:val="7CAD3559"/>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character" w:default="1" w:styleId="14">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7">
    <w:name w:val="Balloon Text"/>
    <w:basedOn w:val="1"/>
    <w:link w:val="19"/>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qFormat/>
    <w:uiPriority w:val="22"/>
    <w:rPr>
      <w:b/>
      <w:bCs/>
    </w:rPr>
  </w:style>
  <w:style w:type="character" w:styleId="16">
    <w:name w:val="Hyperlink"/>
    <w:basedOn w:val="14"/>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semiHidden/>
    <w:qFormat/>
    <w:uiPriority w:val="99"/>
    <w:rPr>
      <w:kern w:val="2"/>
      <w:sz w:val="18"/>
      <w:szCs w:val="18"/>
    </w:rPr>
  </w:style>
  <w:style w:type="paragraph" w:customStyle="1" w:styleId="20">
    <w:name w:val="样式1"/>
    <w:basedOn w:val="1"/>
    <w:next w:val="8"/>
    <w:qFormat/>
    <w:uiPriority w:val="0"/>
    <w:pPr>
      <w:jc w:val="center"/>
    </w:pPr>
  </w:style>
  <w:style w:type="paragraph" w:customStyle="1" w:styleId="2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5D9115-7FB8-4B3D-BED6-AA565749C59C}">
  <ds:schemaRefs/>
</ds:datastoreItem>
</file>

<file path=docProps/app.xml><?xml version="1.0" encoding="utf-8"?>
<Properties xmlns="http://schemas.openxmlformats.org/officeDocument/2006/extended-properties" xmlns:vt="http://schemas.openxmlformats.org/officeDocument/2006/docPropsVTypes">
  <Template>Normal</Template>
  <Pages>4</Pages>
  <Words>671</Words>
  <Characters>833</Characters>
  <Lines>9</Lines>
  <Paragraphs>2</Paragraphs>
  <TotalTime>0</TotalTime>
  <ScaleCrop>false</ScaleCrop>
  <LinksUpToDate>false</LinksUpToDate>
  <CharactersWithSpaces>1065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2026-03-05T03:03:25Z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A34B859E48BF41D3808CB66C98AE2BD7</vt:lpwstr>
  </property>
  <property fmtid="{D5CDD505-2E9C-101B-9397-08002B2CF9AE}" pid="4" name="KSOTemplateDocerSaveRecord">
    <vt:lpwstr>eyJoZGlkIjoiNmNlZjQwZGI4ZDEwOWQxNzVjYzQ0MmQ0MzZiYjgzZTkiLCJ1c2VySWQiOiI0MzIzNDk0NzMifQ==</vt:lpwstr>
  </property>
</Properties>
</file>