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371D21">
      <w:pPr>
        <w:numPr>
          <w:ilvl w:val="0"/>
          <w:numId w:val="0"/>
        </w:numPr>
        <w:tabs>
          <w:tab w:val="left" w:pos="7161"/>
        </w:tabs>
        <w:ind w:leftChars="0"/>
        <w:jc w:val="center"/>
        <w:rPr>
          <w:rFonts w:hint="eastAsia" w:eastAsia="宋体"/>
          <w:sz w:val="30"/>
          <w:lang w:eastAsia="zh-CN"/>
        </w:rPr>
      </w:pPr>
      <w:r>
        <w:rPr>
          <w:rFonts w:hint="eastAsia" w:eastAsia="宋体"/>
          <w:sz w:val="30"/>
          <w:lang w:eastAsia="zh-CN"/>
        </w:rPr>
        <w:drawing>
          <wp:inline distT="0" distB="0" distL="114300" distR="114300">
            <wp:extent cx="3233420" cy="4881880"/>
            <wp:effectExtent l="0" t="0" r="0" b="0"/>
            <wp:docPr id="6" name="图片 6" descr="RWDA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RWDADS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3420" cy="488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F55B6">
      <w:pPr>
        <w:numPr>
          <w:ilvl w:val="0"/>
          <w:numId w:val="0"/>
        </w:numPr>
        <w:tabs>
          <w:tab w:val="left" w:pos="7161"/>
        </w:tabs>
        <w:ind w:leftChars="0"/>
        <w:jc w:val="both"/>
        <w:rPr>
          <w:rFonts w:hint="eastAsia" w:ascii="宋体" w:hAnsi="宋体" w:eastAsia="宋体" w:cs="Times New Roman"/>
          <w:b/>
          <w:color w:val="2F5597" w:themeColor="accent1" w:themeShade="BF"/>
          <w:sz w:val="24"/>
          <w:szCs w:val="24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  <w:r>
        <w:rPr>
          <w:rFonts w:hint="eastAsia" w:ascii="宋体" w:hAnsi="宋体" w:eastAsia="宋体" w:cs="Times New Roman"/>
          <w:b/>
          <w:color w:val="2F5597" w:themeColor="accent1" w:themeShade="BF"/>
          <w:sz w:val="24"/>
          <w:szCs w:val="24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895350</wp:posOffset>
                </wp:positionV>
                <wp:extent cx="5272405" cy="3810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240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85pt;margin-top:70.5pt;height:0.3pt;width:415.15pt;z-index:-251655168;mso-width-relative:page;mso-height-relative:page;" filled="f" stroked="t" coordsize="21600,21600" o:gfxdata="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tcv8FdYAAAAKAQAADwAAAAAAAAABACAAAAAiAAAAZHJzL2Rvd25yZXYueG1sUEsBAhQAFAAAAAgA&#10;h07iQGm1HRHuAQAAtQMAAA4AAAAAAAAAAQAgAAAAJQEAAGRycy9lMm9Eb2MueG1sUEsFBgAAAAAG&#10;AAYAWQEAAIUFAAAAAA==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66675</wp:posOffset>
                </wp:positionV>
                <wp:extent cx="1828800" cy="1828800"/>
                <wp:effectExtent l="0" t="0" r="0" b="0"/>
                <wp:wrapTopAndBottom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9F0006"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7161"/>
                              </w:tabs>
                              <w:ind w:leftChars="0"/>
                              <w:jc w:val="both"/>
                              <w:rPr>
                                <w:rFonts w:hint="eastAsia" w:ascii="宋体" w:hAnsi="宋体" w:eastAsia="宋体" w:cs="Times New Roman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宋体" w:hAnsi="宋体" w:cs="Times New Roman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>RWD150ADS强力顶置搅拌器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.75pt;margin-top:5.25pt;height:144pt;width:144pt;mso-wrap-distance-bottom:0pt;mso-wrap-distance-top:0pt;mso-wrap-style:none;z-index:251662336;mso-width-relative:page;mso-height-relative:page;" filled="f" stroked="f" coordsize="21600,21600" o:gfxdata="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Ag4Mw32AAAAAoBAAAPAAAAAAAAAAEAIAAAACIAAABkcnMvZG93bnJl&#10;di54bWxQSwECFAAUAAAACACHTuJAIn0vtjYCAABlBAAADgAAAAAAAAABACAAAAAn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1C9F0006"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7161"/>
                        </w:tabs>
                        <w:ind w:leftChars="0"/>
                        <w:jc w:val="both"/>
                        <w:rPr>
                          <w:rFonts w:hint="eastAsia" w:ascii="宋体" w:hAnsi="宋体" w:eastAsia="宋体" w:cs="Times New Roman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宋体" w:hAnsi="宋体" w:cs="Times New Roman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RWD150ADS强力顶置搅拌器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hint="eastAsia" w:ascii="宋体" w:hAnsi="宋体" w:eastAsia="宋体" w:cs="Times New Roman"/>
          <w:b/>
          <w:color w:val="2F5597" w:themeColor="accent1" w:themeShade="BF"/>
          <w:sz w:val="30"/>
          <w:szCs w:val="30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283845</wp:posOffset>
                </wp:positionV>
                <wp:extent cx="1792605" cy="62357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2605" cy="623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CC4D3">
                            <w:pPr>
                              <w:rPr>
                                <w:rFonts w:hint="eastAsia" w:eastAsia="宋体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6.25pt;margin-top:22.35pt;height:49.1pt;width:141.15pt;z-index:-251657216;mso-width-relative:page;mso-height-relative:page;" filled="f" stroked="f" coordsize="21600,21600" o:gfxdata="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ZzBocNsAAAAKAQAADwAAAAAAAAABACAAAAAiAAAAZHJz&#10;L2Rvd25yZXYueG1sUEsBAhQAFAAAAAgAh07iQCLqnjE6AgAAZg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CC4D3">
                      <w:pPr>
                        <w:rPr>
                          <w:rFonts w:hint="eastAsia" w:eastAsia="宋体"/>
                          <w:b/>
                          <w:bCs/>
                          <w:color w:val="4472C4" w:themeColor="accent1"/>
                          <w:sz w:val="72"/>
                          <w:szCs w:val="72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Times New Roman"/>
          <w:b/>
          <w:color w:val="2F5597" w:themeColor="accent1" w:themeShade="BF"/>
          <w:sz w:val="24"/>
          <w:szCs w:val="24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1、</w:t>
      </w:r>
      <w:r>
        <w:rPr>
          <w:rFonts w:hint="eastAsia" w:ascii="宋体" w:hAnsi="宋体" w:eastAsia="宋体" w:cs="Times New Roman"/>
          <w:b/>
          <w:color w:val="2F5597" w:themeColor="accent1" w:themeShade="BF"/>
          <w:sz w:val="24"/>
          <w:szCs w:val="24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产品</w:t>
      </w:r>
      <w:r>
        <w:rPr>
          <w:rFonts w:hint="eastAsia" w:cs="Times New Roman"/>
          <w:b/>
          <w:color w:val="2F5597" w:themeColor="accent1" w:themeShade="BF"/>
          <w:sz w:val="24"/>
          <w:szCs w:val="24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应用</w:t>
      </w:r>
    </w:p>
    <w:p w14:paraId="4E92AEA6">
      <w:pPr>
        <w:spacing w:beforeLines="0" w:afterLines="0" w:line="360" w:lineRule="auto"/>
        <w:ind w:firstLine="480" w:firstLineChars="200"/>
        <w:jc w:val="left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ADS系列强力顶置搅拌器是一款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可以程序控制的顶置式搅拌器，大液晶触摸屏显示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，大扭矩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。采用自锁式夹头，转速和时间可调，用于固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-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液、液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-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液或中高粘度样品混合；主要应用于科研、医药、化工、石化、化妆品、食品、生物等领域。</w:t>
      </w:r>
    </w:p>
    <w:p w14:paraId="409C25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leftChars="0"/>
        <w:textAlignment w:val="auto"/>
        <w:outlineLvl w:val="9"/>
        <w:rPr>
          <w:rFonts w:hint="eastAsia" w:ascii="宋体" w:hAnsi="宋体" w:cs="Times New Roman"/>
          <w:b/>
          <w:color w:val="2F5597" w:themeColor="accent1" w:themeShade="BF"/>
          <w:sz w:val="24"/>
          <w:szCs w:val="24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</w:p>
    <w:p w14:paraId="6CC9F7A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leftChars="0"/>
        <w:textAlignment w:val="auto"/>
        <w:outlineLvl w:val="9"/>
        <w:rPr>
          <w:rFonts w:hint="eastAsia" w:ascii="宋体" w:hAnsi="宋体" w:eastAsia="宋体" w:cs="Times New Roman"/>
          <w:b/>
          <w:color w:val="2F5597" w:themeColor="accent1" w:themeShade="BF"/>
          <w:sz w:val="24"/>
          <w:szCs w:val="24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  <w:r>
        <w:rPr>
          <w:rFonts w:hint="eastAsia" w:ascii="宋体" w:hAnsi="宋体" w:eastAsia="宋体" w:cs="Times New Roman"/>
          <w:b/>
          <w:color w:val="2F5597" w:themeColor="accent1" w:themeShade="BF"/>
          <w:sz w:val="24"/>
          <w:szCs w:val="24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375285</wp:posOffset>
                </wp:positionV>
                <wp:extent cx="5291455" cy="381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9145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.6pt;margin-top:29.55pt;height:0.3pt;width:416.65pt;z-index:-251656192;mso-width-relative:page;mso-height-relative:page;" filled="f" stroked="t" coordsize="21600,21600" o:gfxdata="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ZUqJK1gAAAAgBAAAPAAAAAAAAAAEAIAAAACIAAABkcnMvZG93bnJldi54bWxQSwEC&#10;FAAUAAAACACHTuJAkBXpMvYBAAC/AwAADgAAAAAAAAABACAAAAAlAQAAZHJzL2Uyb0RvYy54bWxQ&#10;SwUGAAAAAAYABgBZAQAAjQUAAAAA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cs="Times New Roman"/>
          <w:b/>
          <w:color w:val="2F5597" w:themeColor="accent1" w:themeShade="BF"/>
          <w:sz w:val="24"/>
          <w:szCs w:val="24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2、</w:t>
      </w:r>
      <w:r>
        <w:rPr>
          <w:rFonts w:hint="eastAsia" w:ascii="宋体" w:hAnsi="宋体" w:eastAsia="宋体" w:cs="Times New Roman"/>
          <w:b/>
          <w:color w:val="2F5597" w:themeColor="accent1" w:themeShade="BF"/>
          <w:sz w:val="24"/>
          <w:szCs w:val="24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产品特点</w:t>
      </w:r>
    </w:p>
    <w:p w14:paraId="12A546F4">
      <w:pPr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无碳刷马达，提高无碳粉环境，防止碳粉污染样品；</w:t>
      </w:r>
    </w:p>
    <w:p w14:paraId="7D176549">
      <w:pPr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强劲且稳定的搅拌能力，处理扭矩高达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400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N.cm，可满足实验室绝大多数常规实验的需求；</w:t>
      </w:r>
    </w:p>
    <w:p w14:paraId="112DFF3A">
      <w:pPr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人性化设计；</w:t>
      </w:r>
    </w:p>
    <w:p w14:paraId="41163733">
      <w:pPr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直观的操作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4.3寸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LCD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电容式触摸屏，便于戴手套操作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；</w:t>
      </w:r>
    </w:p>
    <w:p w14:paraId="3A8478E0">
      <w:pPr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屏锁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：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锁定屏幕，防止误操作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；</w:t>
      </w:r>
    </w:p>
    <w:p w14:paraId="3E9F939D">
      <w:pPr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清晰的数字显示屏，可清晰地显示转速，方便速度控制及记录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；</w:t>
      </w:r>
    </w:p>
    <w:p w14:paraId="420C7FA8">
      <w:pPr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具有平缓启动功能，有效防止样品介质溅出；  </w:t>
      </w:r>
    </w:p>
    <w:p w14:paraId="59B9F3B3">
      <w:pPr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便捷的搅拌桨夹头，方便更换搅拌桨，无需任何工具辅助，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没有钥匙丢失风险，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操作轻松便捷；</w:t>
      </w:r>
    </w:p>
    <w:p w14:paraId="7ED90A76">
      <w:pPr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夹头安装到位后会有声音提示，充分避免搅拌桨安装错位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；</w:t>
      </w:r>
    </w:p>
    <w:p w14:paraId="11EC7BC3">
      <w:pPr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耐腐蚀塑料夹头，有效避免有机溶剂腐蚀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。</w:t>
      </w:r>
    </w:p>
    <w:p w14:paraId="3DCC6BF6">
      <w:pPr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全新的电机及通风设计显著降低设备运行噪音，提高设备使用寿命；</w:t>
      </w:r>
    </w:p>
    <w:p w14:paraId="5D4A3183">
      <w:pPr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采用微电子处理器，可确保搅拌速度持续稳定输出，不受物料粘度变化的影响；</w:t>
      </w:r>
    </w:p>
    <w:p w14:paraId="42F03E3E">
      <w:pPr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default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具有过载保护功能；出现过载，短路或异常等情况，自动切断电路并报警，保证实验安全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；</w:t>
      </w:r>
    </w:p>
    <w:p w14:paraId="1F6C20B3">
      <w:pPr>
        <w:numPr>
          <w:ilvl w:val="0"/>
          <w:numId w:val="3"/>
        </w:numPr>
        <w:spacing w:line="360" w:lineRule="auto"/>
        <w:jc w:val="left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color w:val="2F5496"/>
          <w:sz w:val="24"/>
          <w:szCs w:val="24"/>
          <w:lang w:val="en-US" w:eastAsia="zh-CN"/>
        </w:rPr>
        <w:t>双支撑杆固定主机及双夹头固定夹，机器更稳更牢固。</w:t>
      </w:r>
    </w:p>
    <w:p w14:paraId="25DA3456"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宋体" w:hAnsi="宋体" w:cs="Times New Roman"/>
          <w:b/>
          <w:bCs w:val="0"/>
          <w:color w:val="2F5597" w:themeColor="accent1" w:themeShade="BF"/>
          <w:kern w:val="0"/>
          <w:sz w:val="24"/>
          <w:szCs w:val="24"/>
          <w:lang w:val="en-US" w:eastAsia="zh-CN" w:bidi="ar-SA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</w:p>
    <w:p w14:paraId="02408979"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宋体" w:hAnsi="宋体" w:eastAsia="宋体" w:cs="Times New Roman"/>
          <w:b/>
          <w:bCs w:val="0"/>
          <w:color w:val="2F5597" w:themeColor="accent1" w:themeShade="BF"/>
          <w:kern w:val="0"/>
          <w:sz w:val="24"/>
          <w:szCs w:val="24"/>
          <w:lang w:val="en-US" w:eastAsia="zh-CN" w:bidi="ar-SA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  <w:r>
        <w:rPr>
          <w:rFonts w:hint="eastAsia" w:ascii="宋体" w:hAnsi="宋体" w:cs="Times New Roman"/>
          <w:b/>
          <w:bCs w:val="0"/>
          <w:color w:val="2F5597" w:themeColor="accent1" w:themeShade="BF"/>
          <w:kern w:val="0"/>
          <w:sz w:val="24"/>
          <w:szCs w:val="24"/>
          <w:lang w:val="en-US" w:eastAsia="zh-CN" w:bidi="ar-SA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3、</w:t>
      </w:r>
      <w:r>
        <w:rPr>
          <w:rFonts w:hint="eastAsia" w:ascii="宋体" w:hAnsi="宋体" w:eastAsia="宋体" w:cs="Times New Roman"/>
          <w:b/>
          <w:bCs w:val="0"/>
          <w:color w:val="2F5597" w:themeColor="accent1" w:themeShade="BF"/>
          <w:kern w:val="0"/>
          <w:sz w:val="24"/>
          <w:szCs w:val="24"/>
          <w:lang w:val="en-US" w:eastAsia="zh-CN" w:bidi="ar-SA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技术参数</w:t>
      </w:r>
    </w:p>
    <w:tbl>
      <w:tblPr>
        <w:tblStyle w:val="12"/>
        <w:tblW w:w="8522" w:type="dxa"/>
        <w:tblInd w:w="0" w:type="dxa"/>
        <w:tblBorders>
          <w:top w:val="single" w:color="002060" w:sz="4" w:space="0"/>
          <w:left w:val="single" w:color="002060" w:sz="4" w:space="0"/>
          <w:bottom w:val="single" w:color="002060" w:sz="4" w:space="0"/>
          <w:right w:val="single" w:color="002060" w:sz="4" w:space="0"/>
          <w:insideH w:val="single" w:color="002060" w:sz="4" w:space="0"/>
          <w:insideV w:val="single" w:color="00206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1"/>
        <w:gridCol w:w="6091"/>
      </w:tblGrid>
      <w:tr w14:paraId="522E7A1B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582475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型号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4E77A7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RWD</w:t>
            </w: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150ADS</w:t>
            </w:r>
          </w:p>
        </w:tc>
      </w:tr>
      <w:tr w14:paraId="45F2B275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1BAF81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货号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2A07AB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1003039001</w:t>
            </w:r>
          </w:p>
        </w:tc>
      </w:tr>
      <w:tr w14:paraId="4BDC8D51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19E046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最大搅拌量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4A81EA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60</w:t>
            </w: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L</w:t>
            </w:r>
          </w:p>
        </w:tc>
      </w:tr>
      <w:tr w14:paraId="2E1918CD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495A5C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转速范围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16730B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5-40</w:t>
            </w: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0rpm</w:t>
            </w:r>
          </w:p>
        </w:tc>
      </w:tr>
      <w:tr w14:paraId="2AD87987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A6E1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显示</w:t>
            </w: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精度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82D0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±1rpm</w:t>
            </w:r>
          </w:p>
        </w:tc>
      </w:tr>
      <w:tr w14:paraId="3506B9D7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vMerge w:val="restart"/>
            <w:tcBorders>
              <w:tl2br w:val="nil"/>
              <w:tr2bl w:val="nil"/>
            </w:tcBorders>
            <w:vAlign w:val="center"/>
          </w:tcPr>
          <w:p w14:paraId="6CD509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程序控制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608D76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99段转速、时间</w:t>
            </w: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、正反转</w:t>
            </w: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控制</w:t>
            </w:r>
          </w:p>
        </w:tc>
      </w:tr>
      <w:tr w14:paraId="0ADF3389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vMerge w:val="continue"/>
            <w:tcBorders>
              <w:tl2br w:val="nil"/>
              <w:tr2bl w:val="nil"/>
            </w:tcBorders>
            <w:vAlign w:val="center"/>
          </w:tcPr>
          <w:p w14:paraId="3D58A2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77092D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80组四段循环</w:t>
            </w: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（ABCD）</w:t>
            </w: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控制</w:t>
            </w:r>
          </w:p>
        </w:tc>
      </w:tr>
      <w:tr w14:paraId="0D3824E8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3B1CD4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屏幕</w:t>
            </w: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显示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25345C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4.3寸</w:t>
            </w: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LCD</w:t>
            </w: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电容式触摸屏</w:t>
            </w:r>
          </w:p>
        </w:tc>
      </w:tr>
      <w:tr w14:paraId="3CB59E85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6159E3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调速方式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211EB2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粗调+精调</w:t>
            </w:r>
          </w:p>
        </w:tc>
      </w:tr>
      <w:tr w14:paraId="21B8E769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328E9E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定时范围</w:t>
            </w: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h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1B4805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0~08:00:00</w:t>
            </w:r>
          </w:p>
        </w:tc>
      </w:tr>
      <w:tr w14:paraId="4A60313A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3941F3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扭矩</w:t>
            </w: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显示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49A88F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扭矩具有变化趋势显示功能</w:t>
            </w:r>
          </w:p>
        </w:tc>
      </w:tr>
      <w:tr w14:paraId="4B42D4D9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09514F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最大扭矩N.cm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1B9F25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400</w:t>
            </w:r>
          </w:p>
        </w:tc>
      </w:tr>
      <w:tr w14:paraId="6F8E3F53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2599E3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最大粘度mpa.s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614E94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250</w:t>
            </w: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000</w:t>
            </w:r>
          </w:p>
        </w:tc>
      </w:tr>
      <w:tr w14:paraId="5DE48BD3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11167C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输入功率W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311B52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160</w:t>
            </w:r>
          </w:p>
        </w:tc>
      </w:tr>
      <w:tr w14:paraId="5C3B1438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616464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输出功率W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574259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150</w:t>
            </w:r>
          </w:p>
        </w:tc>
      </w:tr>
      <w:tr w14:paraId="77080C8A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4A6A56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保护等级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106BA7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IP42</w:t>
            </w:r>
          </w:p>
        </w:tc>
      </w:tr>
      <w:tr w14:paraId="034A9D85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1D3882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正反转功能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52655A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根据不同类型的搅拌桨，旋转方向可以选择</w:t>
            </w:r>
          </w:p>
        </w:tc>
      </w:tr>
      <w:tr w14:paraId="43419A47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2B2FE1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样品温度保护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299035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测量样品温度，设置样品保护最大温度上限-99~299℃</w:t>
            </w:r>
          </w:p>
        </w:tc>
      </w:tr>
      <w:tr w14:paraId="0EF30CF2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2D9A4F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软件接口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032EB6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Type</w:t>
            </w: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-C、</w:t>
            </w: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RS485，专用软件用于远程控制和数据管理</w:t>
            </w:r>
          </w:p>
        </w:tc>
      </w:tr>
      <w:tr w14:paraId="02966677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4CA76BE0">
            <w:pPr>
              <w:widowControl/>
              <w:jc w:val="center"/>
              <w:textAlignment w:val="center"/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bookmarkStart w:id="0" w:name="_GoBack" w:colFirst="0" w:colLast="1"/>
            <w:r>
              <w:rPr>
                <w:rFonts w:hint="eastAsia" w:ascii="宋体" w:hAnsi="宋体"/>
                <w:color w:val="2F5597" w:themeColor="accent1" w:themeShade="BF"/>
                <w:sz w:val="24"/>
                <w:szCs w:val="24"/>
                <w:lang w:val="en-US" w:eastAsia="zh-CN"/>
              </w:rPr>
              <w:t>数据存储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03677896">
            <w:pPr>
              <w:widowControl/>
              <w:jc w:val="center"/>
              <w:textAlignment w:val="center"/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2F5597" w:themeColor="accent1" w:themeShade="BF"/>
                <w:sz w:val="24"/>
                <w:szCs w:val="24"/>
                <w:lang w:val="en-US" w:eastAsia="zh-CN"/>
              </w:rPr>
              <w:t>4000条（超过循环覆盖）</w:t>
            </w:r>
          </w:p>
        </w:tc>
      </w:tr>
      <w:bookmarkEnd w:id="0"/>
      <w:tr w14:paraId="6177C31B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2135C3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电机保护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11E3D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显示故障自动停止</w:t>
            </w:r>
          </w:p>
        </w:tc>
      </w:tr>
      <w:tr w14:paraId="7D4897C2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274D0B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过载保护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338005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显示故障自动停止</w:t>
            </w:r>
          </w:p>
        </w:tc>
      </w:tr>
      <w:tr w14:paraId="007EFC4B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3A50B1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安全保护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58123B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夹头保护套+防滑垫</w:t>
            </w:r>
          </w:p>
        </w:tc>
      </w:tr>
      <w:tr w14:paraId="45A4D317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134BB6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允许环境温度℃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61EB9B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5~40</w:t>
            </w:r>
          </w:p>
        </w:tc>
      </w:tr>
      <w:tr w14:paraId="39F156FB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64D883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允许环境湿度%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17ABDB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80</w:t>
            </w:r>
          </w:p>
        </w:tc>
      </w:tr>
      <w:tr w14:paraId="1162D119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48D3B3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主机仪器尺寸mm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56D102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100*180*360</w:t>
            </w:r>
          </w:p>
        </w:tc>
      </w:tr>
      <w:tr w14:paraId="032D0546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37C842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套装仪器</w:t>
            </w: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尺寸mm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7CC391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230*360*780</w:t>
            </w:r>
          </w:p>
        </w:tc>
      </w:tr>
      <w:tr w14:paraId="291C6324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7777AC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主机包装尺寸mm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111EC2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540*470*220</w:t>
            </w:r>
          </w:p>
        </w:tc>
      </w:tr>
      <w:tr w14:paraId="7B263EBC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4C4FD5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套装包装尺寸mm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23975C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890*510*220</w:t>
            </w:r>
          </w:p>
        </w:tc>
      </w:tr>
      <w:tr w14:paraId="637CBF36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4F96C6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主机仪器净重kg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244FEA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6.4</w:t>
            </w:r>
          </w:p>
        </w:tc>
      </w:tr>
      <w:tr w14:paraId="36CEE3C7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7A4254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主机仪器</w:t>
            </w: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毛</w:t>
            </w: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重kg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398838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9</w:t>
            </w:r>
          </w:p>
        </w:tc>
      </w:tr>
      <w:tr w14:paraId="5EC76ACC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587D7D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套装仪器净重kg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0EDCC5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17.4</w:t>
            </w:r>
          </w:p>
        </w:tc>
      </w:tr>
      <w:tr w14:paraId="49952D26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31" w:type="dxa"/>
            <w:tcBorders>
              <w:tl2br w:val="nil"/>
              <w:tr2bl w:val="nil"/>
            </w:tcBorders>
            <w:vAlign w:val="center"/>
          </w:tcPr>
          <w:p w14:paraId="050683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套装仪器</w:t>
            </w: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毛</w:t>
            </w: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重kg</w:t>
            </w:r>
          </w:p>
        </w:tc>
        <w:tc>
          <w:tcPr>
            <w:tcW w:w="6091" w:type="dxa"/>
            <w:tcBorders>
              <w:tl2br w:val="nil"/>
              <w:tr2bl w:val="nil"/>
            </w:tcBorders>
            <w:vAlign w:val="center"/>
          </w:tcPr>
          <w:p w14:paraId="3DA32F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20</w:t>
            </w:r>
          </w:p>
        </w:tc>
      </w:tr>
    </w:tbl>
    <w:p w14:paraId="2CF71C1C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left"/>
        <w:textAlignment w:val="auto"/>
        <w:outlineLvl w:val="9"/>
        <w:rPr>
          <w:rFonts w:hint="eastAsia" w:cs="Times New Roman"/>
          <w:b/>
          <w:bCs w:val="0"/>
          <w:color w:val="2F5597" w:themeColor="accent1" w:themeShade="BF"/>
          <w:kern w:val="0"/>
          <w:sz w:val="24"/>
          <w:szCs w:val="24"/>
          <w:lang w:val="en-US" w:eastAsia="zh-CN" w:bidi="ar-SA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</w:p>
    <w:p w14:paraId="6C7868C6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left"/>
        <w:textAlignment w:val="auto"/>
        <w:outlineLvl w:val="9"/>
        <w:rPr>
          <w:rFonts w:hint="eastAsia" w:cs="Times New Roman"/>
          <w:b/>
          <w:bCs w:val="0"/>
          <w:color w:val="2F5597" w:themeColor="accent1" w:themeShade="BF"/>
          <w:kern w:val="0"/>
          <w:sz w:val="24"/>
          <w:szCs w:val="24"/>
          <w:lang w:val="en-US" w:eastAsia="zh-CN" w:bidi="ar-SA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  <w:r>
        <w:rPr>
          <w:rFonts w:hint="eastAsia" w:cs="Times New Roman"/>
          <w:b/>
          <w:bCs w:val="0"/>
          <w:color w:val="2F5597" w:themeColor="accent1" w:themeShade="BF"/>
          <w:kern w:val="0"/>
          <w:sz w:val="24"/>
          <w:szCs w:val="24"/>
          <w:lang w:val="en-US" w:eastAsia="zh-CN" w:bidi="ar-SA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4、装箱清单</w:t>
      </w:r>
    </w:p>
    <w:tbl>
      <w:tblPr>
        <w:tblStyle w:val="12"/>
        <w:tblpPr w:leftFromText="180" w:rightFromText="180" w:vertAnchor="text" w:horzAnchor="page" w:tblpX="1920" w:tblpY="277"/>
        <w:tblOverlap w:val="never"/>
        <w:tblW w:w="4999" w:type="pct"/>
        <w:tblInd w:w="0" w:type="dxa"/>
        <w:tblBorders>
          <w:top w:val="single" w:color="002060" w:sz="4" w:space="0"/>
          <w:left w:val="single" w:color="002060" w:sz="4" w:space="0"/>
          <w:bottom w:val="single" w:color="002060" w:sz="4" w:space="0"/>
          <w:right w:val="single" w:color="002060" w:sz="4" w:space="0"/>
          <w:insideH w:val="single" w:color="002060" w:sz="4" w:space="0"/>
          <w:insideV w:val="single" w:color="00206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61"/>
        <w:gridCol w:w="3859"/>
      </w:tblGrid>
      <w:tr w14:paraId="50AD20C8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exact"/>
        </w:trPr>
        <w:tc>
          <w:tcPr>
            <w:tcW w:w="2735" w:type="pct"/>
            <w:tcBorders>
              <w:tl2br w:val="nil"/>
              <w:tr2bl w:val="nil"/>
            </w:tcBorders>
            <w:vAlign w:val="center"/>
          </w:tcPr>
          <w:p w14:paraId="46F5DBDE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名称</w:t>
            </w:r>
          </w:p>
        </w:tc>
        <w:tc>
          <w:tcPr>
            <w:tcW w:w="2264" w:type="pct"/>
            <w:tcBorders>
              <w:tl2br w:val="nil"/>
              <w:tr2bl w:val="nil"/>
            </w:tcBorders>
            <w:vAlign w:val="center"/>
          </w:tcPr>
          <w:p w14:paraId="700B7A7D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单位</w:t>
            </w:r>
          </w:p>
        </w:tc>
      </w:tr>
      <w:tr w14:paraId="38F66230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exact"/>
        </w:trPr>
        <w:tc>
          <w:tcPr>
            <w:tcW w:w="2735" w:type="pct"/>
            <w:tcBorders>
              <w:tl2br w:val="nil"/>
              <w:tr2bl w:val="nil"/>
            </w:tcBorders>
            <w:vAlign w:val="center"/>
          </w:tcPr>
          <w:p w14:paraId="67A799A5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主机</w:t>
            </w:r>
          </w:p>
        </w:tc>
        <w:tc>
          <w:tcPr>
            <w:tcW w:w="2264" w:type="pct"/>
            <w:tcBorders>
              <w:tl2br w:val="nil"/>
              <w:tr2bl w:val="nil"/>
            </w:tcBorders>
            <w:vAlign w:val="center"/>
          </w:tcPr>
          <w:p w14:paraId="366E828D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1台</w:t>
            </w:r>
          </w:p>
        </w:tc>
      </w:tr>
      <w:tr w14:paraId="3A8D9A88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2735" w:type="pct"/>
            <w:tcBorders>
              <w:tl2br w:val="nil"/>
              <w:tr2bl w:val="nil"/>
            </w:tcBorders>
            <w:vAlign w:val="center"/>
          </w:tcPr>
          <w:p w14:paraId="30FB6154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电源</w:t>
            </w:r>
          </w:p>
        </w:tc>
        <w:tc>
          <w:tcPr>
            <w:tcW w:w="2264" w:type="pct"/>
            <w:tcBorders>
              <w:tl2br w:val="nil"/>
              <w:tr2bl w:val="nil"/>
            </w:tcBorders>
            <w:vAlign w:val="center"/>
          </w:tcPr>
          <w:p w14:paraId="6002253C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1根</w:t>
            </w:r>
          </w:p>
        </w:tc>
      </w:tr>
      <w:tr w14:paraId="0ED53345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2735" w:type="pct"/>
            <w:tcBorders>
              <w:tl2br w:val="nil"/>
              <w:tr2bl w:val="nil"/>
            </w:tcBorders>
            <w:vAlign w:val="center"/>
          </w:tcPr>
          <w:p w14:paraId="7D703634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通用平板支架</w:t>
            </w:r>
          </w:p>
        </w:tc>
        <w:tc>
          <w:tcPr>
            <w:tcW w:w="2264" w:type="pct"/>
            <w:tcBorders>
              <w:tl2br w:val="nil"/>
              <w:tr2bl w:val="nil"/>
            </w:tcBorders>
            <w:vAlign w:val="center"/>
          </w:tcPr>
          <w:p w14:paraId="3F219D48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1套</w:t>
            </w:r>
          </w:p>
        </w:tc>
      </w:tr>
      <w:tr w14:paraId="5427D200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2735" w:type="pct"/>
            <w:tcBorders>
              <w:tl2br w:val="nil"/>
              <w:tr2bl w:val="nil"/>
            </w:tcBorders>
            <w:vAlign w:val="center"/>
          </w:tcPr>
          <w:p w14:paraId="22DBA922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夹头保护套</w:t>
            </w:r>
          </w:p>
        </w:tc>
        <w:tc>
          <w:tcPr>
            <w:tcW w:w="2264" w:type="pct"/>
            <w:tcBorders>
              <w:tl2br w:val="nil"/>
              <w:tr2bl w:val="nil"/>
            </w:tcBorders>
            <w:vAlign w:val="center"/>
          </w:tcPr>
          <w:p w14:paraId="439A8245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1个</w:t>
            </w:r>
          </w:p>
        </w:tc>
      </w:tr>
      <w:tr w14:paraId="44D2209D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2735" w:type="pct"/>
            <w:tcBorders>
              <w:tl2br w:val="nil"/>
              <w:tr2bl w:val="nil"/>
            </w:tcBorders>
            <w:vAlign w:val="center"/>
          </w:tcPr>
          <w:p w14:paraId="4FEECB97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不锈钢四叶式搅拌桨</w:t>
            </w:r>
          </w:p>
        </w:tc>
        <w:tc>
          <w:tcPr>
            <w:tcW w:w="2264" w:type="pct"/>
            <w:tcBorders>
              <w:tl2br w:val="nil"/>
              <w:tr2bl w:val="nil"/>
            </w:tcBorders>
            <w:vAlign w:val="center"/>
          </w:tcPr>
          <w:p w14:paraId="3FC9E195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1根</w:t>
            </w:r>
          </w:p>
        </w:tc>
      </w:tr>
      <w:tr w14:paraId="4DCE0292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2735" w:type="pct"/>
            <w:tcBorders>
              <w:tl2br w:val="nil"/>
              <w:tr2bl w:val="nil"/>
            </w:tcBorders>
            <w:vAlign w:val="center"/>
          </w:tcPr>
          <w:p w14:paraId="79846073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合格证（保修卡）</w:t>
            </w:r>
          </w:p>
        </w:tc>
        <w:tc>
          <w:tcPr>
            <w:tcW w:w="2264" w:type="pct"/>
            <w:tcBorders>
              <w:tl2br w:val="nil"/>
              <w:tr2bl w:val="nil"/>
            </w:tcBorders>
            <w:vAlign w:val="center"/>
          </w:tcPr>
          <w:p w14:paraId="58C80AC5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1份</w:t>
            </w:r>
          </w:p>
        </w:tc>
      </w:tr>
      <w:tr w14:paraId="442FDFDC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2735" w:type="pct"/>
            <w:tcBorders>
              <w:tl2br w:val="nil"/>
              <w:tr2bl w:val="nil"/>
            </w:tcBorders>
            <w:vAlign w:val="center"/>
          </w:tcPr>
          <w:p w14:paraId="5C36C98C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使用说明书</w:t>
            </w:r>
          </w:p>
        </w:tc>
        <w:tc>
          <w:tcPr>
            <w:tcW w:w="2264" w:type="pct"/>
            <w:tcBorders>
              <w:tl2br w:val="nil"/>
              <w:tr2bl w:val="nil"/>
            </w:tcBorders>
            <w:vAlign w:val="center"/>
          </w:tcPr>
          <w:p w14:paraId="32F4C56C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1份</w:t>
            </w:r>
          </w:p>
        </w:tc>
      </w:tr>
    </w:tbl>
    <w:p w14:paraId="25F8E00B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left"/>
        <w:textAlignment w:val="auto"/>
        <w:outlineLvl w:val="9"/>
        <w:rPr>
          <w:rFonts w:hint="eastAsia" w:cs="Times New Roman"/>
          <w:b/>
          <w:bCs w:val="0"/>
          <w:color w:val="2F5597" w:themeColor="accent1" w:themeShade="BF"/>
          <w:kern w:val="0"/>
          <w:sz w:val="24"/>
          <w:szCs w:val="24"/>
          <w:lang w:val="en-US" w:eastAsia="zh-CN" w:bidi="ar-SA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</w:p>
    <w:p w14:paraId="0616C7B4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left"/>
        <w:textAlignment w:val="auto"/>
        <w:outlineLvl w:val="9"/>
        <w:rPr>
          <w:rFonts w:hint="eastAsia" w:cs="Times New Roman"/>
          <w:b/>
          <w:bCs w:val="0"/>
          <w:color w:val="2F5597" w:themeColor="accent1" w:themeShade="BF"/>
          <w:kern w:val="0"/>
          <w:sz w:val="24"/>
          <w:szCs w:val="24"/>
          <w:lang w:val="en-US" w:eastAsia="zh-CN" w:bidi="ar-SA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</w:p>
    <w:p w14:paraId="44DD780F"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45" w:lineRule="atLeast"/>
        <w:ind w:left="0" w:right="0" w:firstLine="0"/>
        <w:rPr>
          <w:rFonts w:hint="eastAsia" w:ascii="宋体" w:hAnsi="宋体" w:eastAsia="宋体" w:cs="宋体"/>
          <w:b w:val="0"/>
          <w:i w:val="0"/>
          <w:caps w:val="0"/>
          <w:color w:val="474747"/>
          <w:spacing w:val="0"/>
          <w:sz w:val="24"/>
          <w:szCs w:val="24"/>
          <w:u w:val="none"/>
          <w:shd w:val="clear" w:fill="FFFFFF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0" w:footer="964" w:gutter="0"/>
      <w:pgBorders w:offsetFrom="page"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84150F">
    <w:pPr>
      <w:pStyle w:val="5"/>
      <w:keepNext w:val="0"/>
      <w:keepLines w:val="0"/>
      <w:widowControl/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hd w:val="clear" w:fill="FFFFFF"/>
      <w:spacing w:before="120" w:beforeAutospacing="0" w:after="120" w:afterAutospacing="0"/>
      <w:ind w:left="0" w:right="0" w:firstLine="0"/>
      <w:jc w:val="both"/>
      <w:rPr>
        <w:rFonts w:hint="eastAsia" w:ascii="宋体" w:hAnsi="宋体" w:eastAsia="宋体" w:cs="宋体"/>
        <w:color w:val="181717" w:themeColor="background2" w:themeShade="1A"/>
        <w:sz w:val="18"/>
        <w:szCs w:val="18"/>
        <w:lang w:val="en-US" w:eastAsia="zh-CN"/>
      </w:rPr>
    </w:pPr>
  </w:p>
  <w:p w14:paraId="20801EB8">
    <w:pPr>
      <w:pStyle w:val="5"/>
      <w:keepNext w:val="0"/>
      <w:keepLines w:val="0"/>
      <w:widowControl/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hd w:val="clear" w:fill="FFFFFF"/>
      <w:spacing w:before="120" w:beforeAutospacing="0" w:after="120" w:afterAutospacing="0"/>
      <w:ind w:left="0" w:right="0" w:firstLine="0"/>
      <w:rPr>
        <w:rFonts w:ascii="微软雅黑" w:hAnsi="微软雅黑" w:eastAsia="微软雅黑" w:cs="微软雅黑"/>
        <w:i w:val="0"/>
        <w:caps w:val="0"/>
        <w:color w:val="959FE7"/>
        <w:spacing w:val="0"/>
        <w:sz w:val="18"/>
        <w:szCs w:val="18"/>
        <w:lang w:val="en-US"/>
      </w:rPr>
    </w:pPr>
  </w:p>
  <w:p w14:paraId="3C86B438">
    <w:pPr>
      <w:pStyle w:val="8"/>
      <w:ind w:firstLine="960" w:firstLineChars="400"/>
      <w:rPr>
        <w:rFonts w:hint="eastAsia" w:eastAsia="宋体"/>
        <w:sz w:val="24"/>
        <w:szCs w:val="24"/>
        <w:lang w:val="en-US" w:eastAsia="zh-CN"/>
        <w14:textOutline w14:w="12700" w14:cmpd="sng">
          <w14:solidFill>
            <w14:schemeClr w14:val="accent1">
              <w14:alpha w14:val="0"/>
            </w14:schemeClr>
          </w14:solidFill>
          <w14:prstDash w14:val="solid"/>
          <w14:round/>
        </w14:textOutline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A7DEAB">
    <w:pPr>
      <w:pStyle w:val="10"/>
      <w:spacing w:line="240" w:lineRule="atLeast"/>
      <w:jc w:val="both"/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</w:pPr>
    <w:r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  <w:drawing>
        <wp:inline distT="0" distB="0" distL="114300" distR="114300">
          <wp:extent cx="824865" cy="824865"/>
          <wp:effectExtent l="0" t="0" r="13335" b="13335"/>
          <wp:docPr id="1" name="图片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4865" cy="824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1D70AE7">
    <w:pPr>
      <w:pStyle w:val="9"/>
      <w:pBdr>
        <w:bottom w:val="none" w:color="auto" w:sz="0" w:space="1"/>
      </w:pBdr>
      <w:tabs>
        <w:tab w:val="center" w:pos="4153"/>
        <w:tab w:val="right" w:pos="8306"/>
      </w:tabs>
      <w:jc w:val="center"/>
      <w:rPr>
        <w:b/>
        <w:color w:val="203864" w:themeColor="accent1" w:themeShade="80"/>
        <w:sz w:val="30"/>
        <w:szCs w:val="30"/>
      </w:rPr>
    </w:pPr>
    <w:r>
      <w:rPr>
        <w:rFonts w:hint="eastAsia"/>
        <w:b/>
        <w:color w:val="203864" w:themeColor="accent1" w:themeShade="80"/>
        <w:sz w:val="30"/>
        <w:szCs w:val="30"/>
      </w:rPr>
      <w:t>上海沪析实业有限公司</w:t>
    </w:r>
  </w:p>
  <w:p w14:paraId="7AC6E24D">
    <w:pPr>
      <w:jc w:val="center"/>
      <w:rPr>
        <w:sz w:val="24"/>
        <w:szCs w:val="24"/>
      </w:rPr>
    </w:pPr>
    <w:r>
      <w:rPr>
        <w:rFonts w:hint="eastAsia"/>
        <w:b/>
        <w:bCs/>
        <w:color w:val="203864" w:themeColor="accent1" w:themeShade="80"/>
        <w:kern w:val="0"/>
      </w:rPr>
      <w:t>Shanghai Huxi Industry Co., Ltd.,</w:t>
    </w:r>
  </w:p>
  <w:p w14:paraId="3FFB423F">
    <w:pPr>
      <w:pStyle w:val="9"/>
      <w:jc w:val="both"/>
    </w:pPr>
  </w:p>
  <w:p w14:paraId="2683886D">
    <w:pPr>
      <w:pStyle w:val="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2BBB761"/>
    <w:multiLevelType w:val="singleLevel"/>
    <w:tmpl w:val="C2BBB761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611A0D4B"/>
    <w:multiLevelType w:val="singleLevel"/>
    <w:tmpl w:val="611A0D4B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2">
    <w:nsid w:val="61ADB0B2"/>
    <w:multiLevelType w:val="singleLevel"/>
    <w:tmpl w:val="61ADB0B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wN2I1NWFkOWYzNzdkZjg5YmMxMmFjNTY5NzVjOTAifQ=="/>
    <w:docVar w:name="KSO_WPS_MARK_KEY" w:val="7f616cee-8953-4aed-965a-43d329de6127"/>
  </w:docVars>
  <w:rsids>
    <w:rsidRoot w:val="00172A27"/>
    <w:rsid w:val="00000422"/>
    <w:rsid w:val="0002414F"/>
    <w:rsid w:val="00091A92"/>
    <w:rsid w:val="000A30B6"/>
    <w:rsid w:val="000F0EE7"/>
    <w:rsid w:val="001C2F0D"/>
    <w:rsid w:val="0020067A"/>
    <w:rsid w:val="00227827"/>
    <w:rsid w:val="00262F28"/>
    <w:rsid w:val="002B6FFF"/>
    <w:rsid w:val="002C777E"/>
    <w:rsid w:val="002F2DF2"/>
    <w:rsid w:val="002F500E"/>
    <w:rsid w:val="002F74BD"/>
    <w:rsid w:val="00343CBD"/>
    <w:rsid w:val="003775A9"/>
    <w:rsid w:val="003D498D"/>
    <w:rsid w:val="004A2EE0"/>
    <w:rsid w:val="004E7E09"/>
    <w:rsid w:val="00535C95"/>
    <w:rsid w:val="00580C1D"/>
    <w:rsid w:val="00596893"/>
    <w:rsid w:val="005A5BBC"/>
    <w:rsid w:val="0069114D"/>
    <w:rsid w:val="00741072"/>
    <w:rsid w:val="007650E0"/>
    <w:rsid w:val="007A51F4"/>
    <w:rsid w:val="00854961"/>
    <w:rsid w:val="008B2ECB"/>
    <w:rsid w:val="00955DE4"/>
    <w:rsid w:val="0098299C"/>
    <w:rsid w:val="00990FAD"/>
    <w:rsid w:val="009E7CF6"/>
    <w:rsid w:val="00A4672B"/>
    <w:rsid w:val="00A94E0D"/>
    <w:rsid w:val="00AA4A1B"/>
    <w:rsid w:val="00AA5CBF"/>
    <w:rsid w:val="00AA700F"/>
    <w:rsid w:val="00B61697"/>
    <w:rsid w:val="00B839ED"/>
    <w:rsid w:val="00BD42F1"/>
    <w:rsid w:val="00C30A7F"/>
    <w:rsid w:val="00C47428"/>
    <w:rsid w:val="00C83139"/>
    <w:rsid w:val="00DA0404"/>
    <w:rsid w:val="00DA6A09"/>
    <w:rsid w:val="00E15CAB"/>
    <w:rsid w:val="00E2271A"/>
    <w:rsid w:val="00E54BE6"/>
    <w:rsid w:val="00E610B3"/>
    <w:rsid w:val="00E62DD8"/>
    <w:rsid w:val="00E900EE"/>
    <w:rsid w:val="00EC783E"/>
    <w:rsid w:val="00EF22FA"/>
    <w:rsid w:val="00EF585C"/>
    <w:rsid w:val="00FE197F"/>
    <w:rsid w:val="01033997"/>
    <w:rsid w:val="0107357B"/>
    <w:rsid w:val="01102115"/>
    <w:rsid w:val="017212D3"/>
    <w:rsid w:val="02402B59"/>
    <w:rsid w:val="02816CCE"/>
    <w:rsid w:val="02AA71DB"/>
    <w:rsid w:val="02D933F4"/>
    <w:rsid w:val="02F87F3E"/>
    <w:rsid w:val="03701ADE"/>
    <w:rsid w:val="03F258F4"/>
    <w:rsid w:val="04C86C51"/>
    <w:rsid w:val="04D83D7B"/>
    <w:rsid w:val="04E918A9"/>
    <w:rsid w:val="065F59CA"/>
    <w:rsid w:val="0692734F"/>
    <w:rsid w:val="06DE2B40"/>
    <w:rsid w:val="07553E41"/>
    <w:rsid w:val="07593675"/>
    <w:rsid w:val="091F1204"/>
    <w:rsid w:val="094B06CA"/>
    <w:rsid w:val="0A184A29"/>
    <w:rsid w:val="0A366F57"/>
    <w:rsid w:val="0A965B96"/>
    <w:rsid w:val="0B6726C3"/>
    <w:rsid w:val="0BD95198"/>
    <w:rsid w:val="0C2A5CE1"/>
    <w:rsid w:val="0D1E1E91"/>
    <w:rsid w:val="0DF540CC"/>
    <w:rsid w:val="0E723992"/>
    <w:rsid w:val="0E8D5C3B"/>
    <w:rsid w:val="0E900BF7"/>
    <w:rsid w:val="10C02CE0"/>
    <w:rsid w:val="10E60B82"/>
    <w:rsid w:val="11385EB2"/>
    <w:rsid w:val="117D1E52"/>
    <w:rsid w:val="1217599D"/>
    <w:rsid w:val="129E67D8"/>
    <w:rsid w:val="12BD10AA"/>
    <w:rsid w:val="12F323D9"/>
    <w:rsid w:val="13377D20"/>
    <w:rsid w:val="144C6A47"/>
    <w:rsid w:val="14681460"/>
    <w:rsid w:val="14A62ED9"/>
    <w:rsid w:val="15CC2E48"/>
    <w:rsid w:val="162626F1"/>
    <w:rsid w:val="163338FF"/>
    <w:rsid w:val="167836D1"/>
    <w:rsid w:val="16855545"/>
    <w:rsid w:val="16A71820"/>
    <w:rsid w:val="18711AC3"/>
    <w:rsid w:val="1886336C"/>
    <w:rsid w:val="188B1F33"/>
    <w:rsid w:val="1976192B"/>
    <w:rsid w:val="1A4C7833"/>
    <w:rsid w:val="1AB80B3F"/>
    <w:rsid w:val="1B871C86"/>
    <w:rsid w:val="1C4A28F1"/>
    <w:rsid w:val="1C4E7DDE"/>
    <w:rsid w:val="1C8D4EFF"/>
    <w:rsid w:val="1CFF2872"/>
    <w:rsid w:val="1E275C81"/>
    <w:rsid w:val="1E486378"/>
    <w:rsid w:val="1F995798"/>
    <w:rsid w:val="20AA4157"/>
    <w:rsid w:val="214625FE"/>
    <w:rsid w:val="2159429D"/>
    <w:rsid w:val="216A23E2"/>
    <w:rsid w:val="216D242C"/>
    <w:rsid w:val="22807B4B"/>
    <w:rsid w:val="22CC1274"/>
    <w:rsid w:val="22E601DB"/>
    <w:rsid w:val="23243285"/>
    <w:rsid w:val="241D3C4F"/>
    <w:rsid w:val="246A0583"/>
    <w:rsid w:val="24AE6CFC"/>
    <w:rsid w:val="26202AAD"/>
    <w:rsid w:val="263F6458"/>
    <w:rsid w:val="26A37C77"/>
    <w:rsid w:val="26F72BBC"/>
    <w:rsid w:val="278C533F"/>
    <w:rsid w:val="27927A02"/>
    <w:rsid w:val="295A600F"/>
    <w:rsid w:val="2A602115"/>
    <w:rsid w:val="2A847618"/>
    <w:rsid w:val="2AC31D90"/>
    <w:rsid w:val="2B2675DA"/>
    <w:rsid w:val="2BE36FED"/>
    <w:rsid w:val="2C0618E2"/>
    <w:rsid w:val="2C2B4AD0"/>
    <w:rsid w:val="2C936415"/>
    <w:rsid w:val="2CBC35B2"/>
    <w:rsid w:val="2D270418"/>
    <w:rsid w:val="2D9E504D"/>
    <w:rsid w:val="2DBB4423"/>
    <w:rsid w:val="2E5E5B1C"/>
    <w:rsid w:val="2E74204A"/>
    <w:rsid w:val="30667F5E"/>
    <w:rsid w:val="30EB7A0F"/>
    <w:rsid w:val="322C4E46"/>
    <w:rsid w:val="32494755"/>
    <w:rsid w:val="32AA6A01"/>
    <w:rsid w:val="32FC4F20"/>
    <w:rsid w:val="337C2EF9"/>
    <w:rsid w:val="34121BAC"/>
    <w:rsid w:val="345832A8"/>
    <w:rsid w:val="348346E6"/>
    <w:rsid w:val="348E7F12"/>
    <w:rsid w:val="35B92EB0"/>
    <w:rsid w:val="36585CBC"/>
    <w:rsid w:val="36E10A24"/>
    <w:rsid w:val="388C12E9"/>
    <w:rsid w:val="3A045A6B"/>
    <w:rsid w:val="3A542ACC"/>
    <w:rsid w:val="3A855738"/>
    <w:rsid w:val="3ABF1760"/>
    <w:rsid w:val="3B6E0E96"/>
    <w:rsid w:val="3BD11425"/>
    <w:rsid w:val="3BF5548E"/>
    <w:rsid w:val="3C5E63A4"/>
    <w:rsid w:val="3CD670D3"/>
    <w:rsid w:val="3D7C2C1D"/>
    <w:rsid w:val="3DA6127B"/>
    <w:rsid w:val="3DA6700D"/>
    <w:rsid w:val="3DEB6E30"/>
    <w:rsid w:val="3E1C107E"/>
    <w:rsid w:val="3E2B5E06"/>
    <w:rsid w:val="3F2B7B52"/>
    <w:rsid w:val="40764144"/>
    <w:rsid w:val="410B44C7"/>
    <w:rsid w:val="42D251E4"/>
    <w:rsid w:val="43EA5F2F"/>
    <w:rsid w:val="442711AA"/>
    <w:rsid w:val="44EE1A4A"/>
    <w:rsid w:val="45E14FFA"/>
    <w:rsid w:val="472A37C1"/>
    <w:rsid w:val="47C40684"/>
    <w:rsid w:val="492676C2"/>
    <w:rsid w:val="498B526A"/>
    <w:rsid w:val="4A527F2C"/>
    <w:rsid w:val="4A7B5C25"/>
    <w:rsid w:val="4AA4627F"/>
    <w:rsid w:val="4AB53B48"/>
    <w:rsid w:val="4ADC76DB"/>
    <w:rsid w:val="4CA81950"/>
    <w:rsid w:val="4D4E77F2"/>
    <w:rsid w:val="4E4D02B8"/>
    <w:rsid w:val="4E931B10"/>
    <w:rsid w:val="4FA42C81"/>
    <w:rsid w:val="4FD73045"/>
    <w:rsid w:val="50D50081"/>
    <w:rsid w:val="51C771E3"/>
    <w:rsid w:val="51F9487C"/>
    <w:rsid w:val="52EE746C"/>
    <w:rsid w:val="53733F6E"/>
    <w:rsid w:val="5452446D"/>
    <w:rsid w:val="54AB3182"/>
    <w:rsid w:val="55370575"/>
    <w:rsid w:val="563C7D3B"/>
    <w:rsid w:val="567A4548"/>
    <w:rsid w:val="576F688D"/>
    <w:rsid w:val="57F77651"/>
    <w:rsid w:val="5826783E"/>
    <w:rsid w:val="5854455E"/>
    <w:rsid w:val="58926505"/>
    <w:rsid w:val="58C6092D"/>
    <w:rsid w:val="58EF2811"/>
    <w:rsid w:val="58F34817"/>
    <w:rsid w:val="591C6583"/>
    <w:rsid w:val="594D1214"/>
    <w:rsid w:val="596F287D"/>
    <w:rsid w:val="59AB3574"/>
    <w:rsid w:val="5AB11CD6"/>
    <w:rsid w:val="5B1A281A"/>
    <w:rsid w:val="5B4063A3"/>
    <w:rsid w:val="5B705474"/>
    <w:rsid w:val="5BDA755D"/>
    <w:rsid w:val="5C7834CB"/>
    <w:rsid w:val="5DDC6E97"/>
    <w:rsid w:val="5DE60691"/>
    <w:rsid w:val="5F8826E6"/>
    <w:rsid w:val="5FB33C75"/>
    <w:rsid w:val="5FD9443A"/>
    <w:rsid w:val="60365498"/>
    <w:rsid w:val="607225C9"/>
    <w:rsid w:val="608B6872"/>
    <w:rsid w:val="61FA2450"/>
    <w:rsid w:val="624F31B6"/>
    <w:rsid w:val="626F460D"/>
    <w:rsid w:val="62737F03"/>
    <w:rsid w:val="62BD7680"/>
    <w:rsid w:val="63B80222"/>
    <w:rsid w:val="642E3C62"/>
    <w:rsid w:val="64BB3B0A"/>
    <w:rsid w:val="65173864"/>
    <w:rsid w:val="65D07B0C"/>
    <w:rsid w:val="65DD3899"/>
    <w:rsid w:val="67074C35"/>
    <w:rsid w:val="678216A2"/>
    <w:rsid w:val="67B86FD5"/>
    <w:rsid w:val="68CC736B"/>
    <w:rsid w:val="693C6C3B"/>
    <w:rsid w:val="69A05A18"/>
    <w:rsid w:val="6A1F6BB3"/>
    <w:rsid w:val="6AB4227F"/>
    <w:rsid w:val="6B3B6611"/>
    <w:rsid w:val="6B5251F4"/>
    <w:rsid w:val="6B6C7258"/>
    <w:rsid w:val="6B7C0DFE"/>
    <w:rsid w:val="6BA7011A"/>
    <w:rsid w:val="6C2812B0"/>
    <w:rsid w:val="6C7B7BBF"/>
    <w:rsid w:val="6DFB560B"/>
    <w:rsid w:val="6E0C2F03"/>
    <w:rsid w:val="6EB332A4"/>
    <w:rsid w:val="6EF758B3"/>
    <w:rsid w:val="6F17421F"/>
    <w:rsid w:val="6F7B3153"/>
    <w:rsid w:val="6F975B11"/>
    <w:rsid w:val="717C5C97"/>
    <w:rsid w:val="71D706EC"/>
    <w:rsid w:val="71E561F0"/>
    <w:rsid w:val="727D6C7C"/>
    <w:rsid w:val="73364E28"/>
    <w:rsid w:val="73587C07"/>
    <w:rsid w:val="737F1A45"/>
    <w:rsid w:val="73974732"/>
    <w:rsid w:val="740808A1"/>
    <w:rsid w:val="74A64C8E"/>
    <w:rsid w:val="75081535"/>
    <w:rsid w:val="753229DE"/>
    <w:rsid w:val="75EA64FF"/>
    <w:rsid w:val="76164029"/>
    <w:rsid w:val="76E353C5"/>
    <w:rsid w:val="774B4EF3"/>
    <w:rsid w:val="7751123E"/>
    <w:rsid w:val="77C15694"/>
    <w:rsid w:val="78323E75"/>
    <w:rsid w:val="785C43A8"/>
    <w:rsid w:val="789300A3"/>
    <w:rsid w:val="78F84331"/>
    <w:rsid w:val="79FB6B36"/>
    <w:rsid w:val="7A61311F"/>
    <w:rsid w:val="7A664B08"/>
    <w:rsid w:val="7AA2317C"/>
    <w:rsid w:val="7B6E5163"/>
    <w:rsid w:val="7B965710"/>
    <w:rsid w:val="7CAD3559"/>
    <w:rsid w:val="7D806002"/>
    <w:rsid w:val="7EFB7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qFormat="1"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14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19"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2">
    <w:name w:val="Table Grid"/>
    <w:basedOn w:val="11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3">
    <w:name w:val="Light Grid Accent 5"/>
    <w:basedOn w:val="11"/>
    <w:qFormat/>
    <w:uiPriority w:val="62"/>
    <w:tblPr>
      <w:tblBorders>
        <w:top w:val="single" w:color="5B9BD5" w:themeColor="accent5" w:sz="8" w:space="0"/>
        <w:left w:val="single" w:color="5B9BD5" w:themeColor="accent5" w:sz="8" w:space="0"/>
        <w:bottom w:val="single" w:color="5B9BD5" w:themeColor="accent5" w:sz="8" w:space="0"/>
        <w:right w:val="single" w:color="5B9BD5" w:themeColor="accent5" w:sz="8" w:space="0"/>
        <w:insideH w:val="single" w:color="5B9BD5" w:themeColor="accent5" w:sz="8" w:space="0"/>
        <w:insideV w:val="single" w:color="5B9BD5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1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5B9BD5" w:themeColor="accent5" w:sz="6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</w:tcPr>
    </w:tblStylePr>
    <w:tblStylePr w:type="band1Vert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</w:tcPr>
    </w:tblStylePr>
  </w:style>
  <w:style w:type="character" w:styleId="15">
    <w:name w:val="Strong"/>
    <w:basedOn w:val="14"/>
    <w:qFormat/>
    <w:uiPriority w:val="22"/>
    <w:rPr>
      <w:b/>
      <w:bCs/>
    </w:rPr>
  </w:style>
  <w:style w:type="character" w:styleId="16">
    <w:name w:val="Hyperlink"/>
    <w:basedOn w:val="14"/>
    <w:unhideWhenUsed/>
    <w:qFormat/>
    <w:uiPriority w:val="99"/>
    <w:rPr>
      <w:color w:val="0000FF"/>
      <w:u w:val="single"/>
    </w:rPr>
  </w:style>
  <w:style w:type="character" w:customStyle="1" w:styleId="17">
    <w:name w:val="页脚 Char"/>
    <w:basedOn w:val="14"/>
    <w:link w:val="8"/>
    <w:qFormat/>
    <w:uiPriority w:val="99"/>
    <w:rPr>
      <w:sz w:val="18"/>
      <w:szCs w:val="18"/>
    </w:rPr>
  </w:style>
  <w:style w:type="character" w:customStyle="1" w:styleId="18">
    <w:name w:val="标题 1 Char"/>
    <w:basedOn w:val="14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9">
    <w:name w:val="批注框文本 Char"/>
    <w:basedOn w:val="14"/>
    <w:link w:val="7"/>
    <w:semiHidden/>
    <w:qFormat/>
    <w:uiPriority w:val="99"/>
    <w:rPr>
      <w:kern w:val="2"/>
      <w:sz w:val="18"/>
      <w:szCs w:val="18"/>
    </w:rPr>
  </w:style>
  <w:style w:type="paragraph" w:customStyle="1" w:styleId="20">
    <w:name w:val="样式1"/>
    <w:basedOn w:val="1"/>
    <w:next w:val="8"/>
    <w:qFormat/>
    <w:uiPriority w:val="0"/>
    <w:pPr>
      <w:jc w:val="center"/>
    </w:pPr>
  </w:style>
  <w:style w:type="paragraph" w:customStyle="1" w:styleId="21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</a:ln>
      </a:spPr>
      <a:bodyPr rot="0" vert="horz" wrap="square" lIns="91440" tIns="45720" rIns="91440" bIns="45720" anchor="t" anchorCtr="0">
        <a:noAutofit/>
      </a:bodyPr>
      <a:lstStyle/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79C3209-937D-4768-B014-3599857623A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867</Words>
  <Characters>1020</Characters>
  <Lines>7</Lines>
  <Paragraphs>2</Paragraphs>
  <TotalTime>0</TotalTime>
  <ScaleCrop>false</ScaleCrop>
  <LinksUpToDate>false</LinksUpToDate>
  <CharactersWithSpaces>1022</CharactersWithSpaces>
  <Application>WPS Office_12.1.0.25860_F1E327BC-269C-435d-A152-05C5408002CA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2018-05-21T01:33:00Z</dcterms:created>
  <dc:creator>孙长娟</dc:creator>
  <cp:lastModifiedBy>五七</cp:lastModifiedBy>
  <dcterms:modified xsi:type="dcterms:W3CDTF">2026-05-18T06:19:55Z</dcterms:modified>
  <cp:revision>74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2052-12.1.0.25860</vt:lpwstr>
  </property>
  <property fmtid="{D5CDD505-2E9C-101B-9397-08002B2CF9AE}" pid="3" name="ICV">
    <vt:lpwstr>E49C70FD9B3841B593753B57ACB718B1_13</vt:lpwstr>
  </property>
  <property fmtid="{D5CDD505-2E9C-101B-9397-08002B2CF9AE}" pid="4" name="KSOTemplateDocerSaveRecord">
    <vt:lpwstr>eyJoZGlkIjoiNmNlZjQwZGI4ZDEwOWQxNzVjYzQ0MmQ0MzZiYjgzZTkiLCJ1c2VySWQiOiI0MzIzNDk0NzMifQ==</vt:lpwstr>
  </property>
</Properties>
</file>