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C0F0B4">
      <w:pPr>
        <w:tabs>
          <w:tab w:val="left" w:pos="7161"/>
        </w:tabs>
        <w:jc w:val="center"/>
        <w:rPr>
          <w:rFonts w:hint="eastAsia" w:ascii="仿宋" w:hAnsi="仿宋" w:eastAsia="仿宋" w:cs="仿宋"/>
          <w:color w:val="000000"/>
          <w:sz w:val="24"/>
        </w:rPr>
      </w:pPr>
      <w:bookmarkStart w:id="0" w:name="_GoBack"/>
      <w:bookmarkEnd w:id="0"/>
      <w:r>
        <w:rPr>
          <w:rFonts w:hint="eastAsia" w:ascii="仿宋" w:hAnsi="仿宋" w:eastAsia="仿宋" w:cs="仿宋"/>
          <w:color w:val="000000"/>
          <w:sz w:val="24"/>
          <w:lang w:eastAsia="zh-CN"/>
        </w:rPr>
        <w:drawing>
          <wp:inline distT="0" distB="0" distL="114300" distR="114300">
            <wp:extent cx="4844415" cy="3208655"/>
            <wp:effectExtent l="0" t="0" r="0" b="0"/>
            <wp:docPr id="1" name="图片 1" descr="透明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透明底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4415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5A907">
      <w:pPr>
        <w:spacing w:line="360" w:lineRule="auto"/>
        <w:ind w:firstLine="482" w:firstLineChars="200"/>
        <w:jc w:val="center"/>
        <w:rPr>
          <w:rFonts w:hint="eastAsia" w:ascii="宋体" w:hAnsi="宋体" w:cs="宋体"/>
          <w:b/>
          <w:bCs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2F5597" w:themeColor="accent1" w:themeShade="BF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993775</wp:posOffset>
                </wp:positionH>
                <wp:positionV relativeFrom="paragraph">
                  <wp:posOffset>18415</wp:posOffset>
                </wp:positionV>
                <wp:extent cx="3606800" cy="828040"/>
                <wp:effectExtent l="0" t="0" r="0" b="0"/>
                <wp:wrapThrough wrapText="bothSides">
                  <wp:wrapPolygon>
                    <wp:start x="567" y="1275"/>
                    <wp:lineTo x="21033" y="1275"/>
                    <wp:lineTo x="21033" y="20325"/>
                    <wp:lineTo x="567" y="20325"/>
                    <wp:lineTo x="567" y="1275"/>
                  </wp:wrapPolygon>
                </wp:wrapThrough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828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777F18">
                            <w:pPr>
                              <w:jc w:val="center"/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HX-CW500超声波微波组合反应系统</w:t>
                            </w:r>
                          </w:p>
                          <w:p w14:paraId="5AF70C5B">
                            <w:pPr>
                              <w:jc w:val="center"/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(超声波微波协同工作站）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25pt;margin-top:1.45pt;height:65.2pt;width:284pt;mso-wrap-distance-left:9pt;mso-wrap-distance-right:9pt;z-index:-251655168;mso-width-relative:page;mso-height-relative:page;" filled="f" stroked="f" coordsize="21600,21600" wrapcoords="567 1275 21033 1275 21033 20325 567 20325 567 1275" o:gfxdata="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HpGEa2AAAAAkBAAAPAAAAAAAAAAEAIAAAACIAAABkcnMv&#10;ZG93bnJldi54bWxQSwECFAAUAAAACACHTuJAx3F/mDwCAABmBAAADgAAAAAAAAABACAAAAAn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777F18">
                      <w:pPr>
                        <w:jc w:val="center"/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HX-CW500超声波微波组合反应系统</w:t>
                      </w:r>
                    </w:p>
                    <w:p w14:paraId="5AF70C5B">
                      <w:pPr>
                        <w:jc w:val="center"/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(超声波微波协同工作站）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8D6E53E">
      <w:pPr>
        <w:spacing w:line="360" w:lineRule="auto"/>
        <w:ind w:firstLine="482" w:firstLineChars="200"/>
        <w:jc w:val="center"/>
        <w:rPr>
          <w:rFonts w:hint="eastAsia" w:ascii="宋体" w:hAnsi="宋体" w:cs="宋体"/>
          <w:b/>
          <w:bCs/>
          <w:color w:val="2F5597" w:themeColor="accent1" w:themeShade="BF"/>
          <w:sz w:val="24"/>
          <w:szCs w:val="24"/>
          <w:lang w:val="en-US" w:eastAsia="zh-CN"/>
        </w:rPr>
      </w:pPr>
    </w:p>
    <w:p w14:paraId="75E44B5A">
      <w:pPr>
        <w:spacing w:line="360" w:lineRule="auto"/>
        <w:ind w:firstLine="482" w:firstLineChars="200"/>
        <w:jc w:val="center"/>
        <w:rPr>
          <w:rFonts w:hint="eastAsia" w:ascii="宋体" w:hAnsi="宋体" w:cs="宋体"/>
          <w:b/>
          <w:bCs/>
          <w:color w:val="2F5597" w:themeColor="accent1" w:themeShade="BF"/>
          <w:sz w:val="24"/>
          <w:szCs w:val="24"/>
          <w:lang w:val="en-US" w:eastAsia="zh-CN"/>
        </w:rPr>
      </w:pPr>
    </w:p>
    <w:p w14:paraId="7E965362">
      <w:pPr>
        <w:tabs>
          <w:tab w:val="left" w:pos="7161"/>
        </w:tabs>
        <w:rPr>
          <w:rFonts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381000</wp:posOffset>
                </wp:positionV>
                <wp:extent cx="5272405" cy="381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240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1pt;margin-top:30pt;height:0.3pt;width:415.15pt;z-index:-251656192;mso-width-relative:page;mso-height-relative:page;" filled="f" stroked="t" coordsize="21600,21600" o:gfxdata="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Z&#10;eyux1QAAAAcBAAAPAAAAAAAAAAEAIAAAACIAAABkcnMvZG93bnJldi54bWxQSwECFAAUAAAACACH&#10;TuJAabUdEe4BAAC1AwAADgAAAAAAAAABACAAAAAkAQAAZHJzL2Uyb0RvYy54bWxQSwUGAAAAAAYA&#10;BgBZAQAAhAUAAAAA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1、产品</w:t>
      </w:r>
      <w:r>
        <w:rPr>
          <w:rFonts w:hint="eastAsia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应用</w:t>
      </w:r>
    </w:p>
    <w:p w14:paraId="4AE6336C">
      <w:pPr>
        <w:spacing w:line="360" w:lineRule="auto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超声波微波组合反应系统，具有微波、超声波、微波超声波单独控制和协同功能。系统同时实现了7寸触摸界面控制、具有数据储存，以及高清可视化实时显示反应状态等功能。</w:t>
      </w:r>
    </w:p>
    <w:p w14:paraId="66879FFD">
      <w:pPr>
        <w:spacing w:line="360" w:lineRule="auto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微波化学合成仪广泛应用于高校、科研院所、生物制药、材料工矿等众多领域的化学合成。微波化学合成仪利用微波、超声波、紫外光等基础原理对反应物有有效的催化作用，可创造多种合成条件，加快化学合成反应等显著特点。</w:t>
      </w:r>
    </w:p>
    <w:p w14:paraId="4A5AE2D2">
      <w:pPr>
        <w:spacing w:line="360" w:lineRule="auto"/>
        <w:jc w:val="left"/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</w:p>
    <w:p w14:paraId="38ECC289">
      <w:pPr>
        <w:spacing w:line="360" w:lineRule="auto"/>
        <w:jc w:val="left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375285</wp:posOffset>
                </wp:positionV>
                <wp:extent cx="5291455" cy="381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9145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.6pt;margin-top:29.55pt;height:0.3pt;width:416.65pt;z-index:-251657216;mso-width-relative:page;mso-height-relative:page;" filled="f" stroked="t" coordsize="21600,21600" o:gfxdata="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ZUqJK1gAAAAgBAAAPAAAAAAAAAAEAIAAAACIAAABkcnMvZG93bnJldi54bWxQSwEC&#10;FAAUAAAACACHTuJAkBXpMvYBAAC/AwAADgAAAAAAAAABACAAAAAlAQAAZHJzL2Uyb0RvYy54bWxQ&#10;SwUGAAAAAAYABgBZAQAAjQUAAAAA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2、产品特点</w:t>
      </w:r>
    </w:p>
    <w:p w14:paraId="495F35EF">
      <w:pPr>
        <w:pStyle w:val="10"/>
        <w:spacing w:before="0" w:beforeAutospacing="0" w:after="0" w:afterAutospacing="0" w:line="360" w:lineRule="auto"/>
        <w:rPr>
          <w:rFonts w:hint="default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技术特点</w:t>
      </w:r>
    </w:p>
    <w:p w14:paraId="2BBEA263"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1.1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温控系统：铂金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电阻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传感器。</w:t>
      </w:r>
    </w:p>
    <w:p w14:paraId="015255F8"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容器容量：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500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ml。</w:t>
      </w:r>
    </w:p>
    <w:p w14:paraId="48F6E540"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操作系统：微电脑控制技术，多段程序控制模式。</w:t>
      </w:r>
    </w:p>
    <w:p w14:paraId="453AFFC0"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超声功率:1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8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00W可微调；超声频率：20KHz，超声探头可进行介入或非介入样品，通过空化效应或者空气传输，作用于样品功能。</w:t>
      </w:r>
    </w:p>
    <w:p w14:paraId="611EB5D3"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标配超声探头直径：Φ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20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适合不同口径的反应容器</w:t>
      </w:r>
    </w:p>
    <w:p w14:paraId="58F59EC6"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.控制系统</w:t>
      </w:r>
    </w:p>
    <w:p w14:paraId="1BA6459C"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.1微波频率：2450MHz,非脉冲连续自动变频控制，0-100%功率自动连续可调。</w:t>
      </w:r>
    </w:p>
    <w:p w14:paraId="62D77FD7"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.2工业级磁控管：微波最大输出功率1000W。</w:t>
      </w:r>
    </w:p>
    <w:p w14:paraId="0A0A0ADB"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.3温度控制系统：采用有线连接的铂金电阻测温传感器。</w:t>
      </w:r>
    </w:p>
    <w:p w14:paraId="3F64B78B"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紫外催化系统：波长253.7nm，功率100W。</w:t>
      </w:r>
    </w:p>
    <w:p w14:paraId="7F71DCC3"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搅拌装置：磁力搅拌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搅拌转速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0~2500rpm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可调。</w:t>
      </w:r>
    </w:p>
    <w:p w14:paraId="36439A33"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6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多功能操作模式，可以扩展为微波萃取、微波合成、超声破壁等。</w:t>
      </w:r>
    </w:p>
    <w:p w14:paraId="55EBF430"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.炉门、炉腔安全</w:t>
      </w:r>
    </w:p>
    <w:p w14:paraId="54E9EB62"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.1六层钢结构安全炉门，采用缓冲浮动设计，确保实验过程中的安全。</w:t>
      </w:r>
    </w:p>
    <w:p w14:paraId="7295A5D7"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.2采用机械锁、电子锁协调配合，保证运行过程中炉门无法开启，当炉门异常开启时仪器自动切断微波停止工作。</w:t>
      </w:r>
    </w:p>
    <w:p w14:paraId="436A7074"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.3炉腔腔体采用316L工业级不锈钢一体成型，炉腔喷涂多达6层PFA防腐涂层。</w:t>
      </w:r>
    </w:p>
    <w:p w14:paraId="2EDEF201"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.操作系统</w:t>
      </w:r>
    </w:p>
    <w:p w14:paraId="7774EEC1"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.1微电脑控制技术，可实现历史数据查看，数据导出导入。</w:t>
      </w:r>
    </w:p>
    <w:p w14:paraId="1DB9FF1F"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.2电容式液晶触摸显示屏，实时显示包括：温度、升温时间、恒温时间、微波功率、反应进程。</w:t>
      </w:r>
    </w:p>
    <w:p w14:paraId="2BDB35A9"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.3仪器内置方法库，可直接选取调用方案，可储存200种方法。</w:t>
      </w:r>
    </w:p>
    <w:p w14:paraId="261FAD72"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.反应组件</w:t>
      </w:r>
    </w:p>
    <w:p w14:paraId="65B9A7D0"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.1反应器可选配聚四氟乙烯或者耐高温、耐腐蚀玻璃材料，反应器容积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500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ml。</w:t>
      </w:r>
    </w:p>
    <w:p w14:paraId="1975F5AB"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.2反应器可连接玻璃导管，采用开放式反应体系，可安装滴液漏斗和冷凝管等进行回流反应。</w:t>
      </w:r>
    </w:p>
    <w:p w14:paraId="5897E54A"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</w:p>
    <w:p w14:paraId="50F58C56">
      <w:pPr>
        <w:pStyle w:val="10"/>
        <w:spacing w:before="0" w:beforeAutospacing="0" w:after="0" w:afterAutospacing="0" w:line="360" w:lineRule="auto"/>
        <w:rPr>
          <w:rFonts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3、技术参数</w:t>
      </w:r>
    </w:p>
    <w:tbl>
      <w:tblPr>
        <w:tblStyle w:val="12"/>
        <w:tblpPr w:leftFromText="180" w:rightFromText="180" w:vertAnchor="text" w:horzAnchor="page" w:tblpX="1800" w:tblpY="204"/>
        <w:tblOverlap w:val="never"/>
        <w:tblW w:w="8785" w:type="dxa"/>
        <w:tblInd w:w="0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7"/>
        <w:gridCol w:w="3968"/>
      </w:tblGrid>
      <w:tr w14:paraId="12407732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7FCECEEC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型号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5A8D00EC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HX-CW500</w:t>
            </w:r>
          </w:p>
        </w:tc>
      </w:tr>
      <w:tr w14:paraId="6ADF9F62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09B70B50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货号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51BCC4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1008037001</w:t>
            </w:r>
          </w:p>
        </w:tc>
      </w:tr>
      <w:tr w14:paraId="198E7A11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204528B4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容器容量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38AC1A72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500ml</w:t>
            </w:r>
          </w:p>
        </w:tc>
      </w:tr>
      <w:tr w14:paraId="726783AF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7B2555D7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超声波功率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718B121C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1800W可微调</w:t>
            </w:r>
          </w:p>
        </w:tc>
      </w:tr>
      <w:tr w14:paraId="470FEE9E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584D9C79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超声波变幅杆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57BECA9B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随机：Φ20</w:t>
            </w: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ab/>
            </w:r>
          </w:p>
        </w:tc>
      </w:tr>
      <w:tr w14:paraId="5E4D39FC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49690B0D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超声波频率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76EE8D18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20KHZ</w:t>
            </w:r>
          </w:p>
        </w:tc>
      </w:tr>
      <w:tr w14:paraId="15F46AF5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7E833977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超声波显示方式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34A1F651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真彩7寸触摸电容屏高清晰显示</w:t>
            </w:r>
          </w:p>
        </w:tc>
      </w:tr>
      <w:tr w14:paraId="7D838CEA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0B045B4D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超声波控制方式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36893308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单片机+TFT触控</w:t>
            </w:r>
          </w:p>
        </w:tc>
      </w:tr>
      <w:tr w14:paraId="3A31AF06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66C9D434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超声波主机材质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01BCCE73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铝合金+ABS塑料模具一次性成型</w:t>
            </w:r>
          </w:p>
        </w:tc>
      </w:tr>
      <w:tr w14:paraId="4688379C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0F726402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微波反应系统整机功率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713D88A6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2100W</w:t>
            </w:r>
          </w:p>
        </w:tc>
      </w:tr>
      <w:tr w14:paraId="2949D0C2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3B6E7AE9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微波反应系统最大输出功率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4BA3A8A0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1000W</w:t>
            </w:r>
          </w:p>
        </w:tc>
      </w:tr>
      <w:tr w14:paraId="1F19AA79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5EAEB1F6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微波频率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3ED0FE0F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2450MH，0-100%功率自动连续可调</w:t>
            </w:r>
          </w:p>
        </w:tc>
      </w:tr>
      <w:tr w14:paraId="27BEC10C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1898EB0C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微波温度传感器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52E11F33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有线连接的铂金电阻测温传感器</w:t>
            </w:r>
          </w:p>
        </w:tc>
      </w:tr>
      <w:tr w14:paraId="29296085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0F0CDF8F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微波测温范围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2ED13952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0～350℃</w:t>
            </w:r>
          </w:p>
        </w:tc>
      </w:tr>
      <w:tr w14:paraId="0724C254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517ACF76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微波最高温度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35A4DB50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250℃</w:t>
            </w:r>
          </w:p>
        </w:tc>
      </w:tr>
      <w:tr w14:paraId="1B5D7D25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191EE432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微波控温精度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5F9D0386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≤±1℃</w:t>
            </w:r>
          </w:p>
        </w:tc>
      </w:tr>
      <w:tr w14:paraId="04FD8659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4A9A7FCE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微波测压范围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18ADF359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0-15Mpa</w:t>
            </w:r>
          </w:p>
        </w:tc>
      </w:tr>
      <w:tr w14:paraId="65BD47DF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453CF389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微波控压精度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7006FE48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±0.01Mpa</w:t>
            </w:r>
          </w:p>
        </w:tc>
      </w:tr>
      <w:tr w14:paraId="42DA37E7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19765CB4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微波炉腔腔体材质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27FF28DE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316L工业级不锈钢一体成型</w:t>
            </w:r>
          </w:p>
        </w:tc>
      </w:tr>
      <w:tr w14:paraId="697A22DA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4527E446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微波炉门材质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49BB2B57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缓冲浮动设计六层钢结构炉门</w:t>
            </w:r>
          </w:p>
        </w:tc>
      </w:tr>
      <w:tr w14:paraId="43ABC0F1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60447952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工作时间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7D61E8B4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连续工作、0-9999s可调</w:t>
            </w:r>
          </w:p>
        </w:tc>
      </w:tr>
      <w:tr w14:paraId="057F8083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403293CD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搅拌转速rpm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216B1856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0~2500rpm</w:t>
            </w:r>
          </w:p>
        </w:tc>
      </w:tr>
      <w:tr w14:paraId="03E66757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11D34E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循环泵型号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6D85FF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HXS-0503</w:t>
            </w:r>
          </w:p>
        </w:tc>
      </w:tr>
      <w:tr w14:paraId="26CE7DD8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6FDCBF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循环泵货号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61D3FB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1039019001</w:t>
            </w:r>
          </w:p>
        </w:tc>
      </w:tr>
      <w:tr w14:paraId="3DD7AFC0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189C528E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温度范围（℃）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59376828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-5~100℃</w:t>
            </w:r>
          </w:p>
        </w:tc>
      </w:tr>
      <w:tr w14:paraId="22FF9F6D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5C637875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数显分辨率（℃）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00FBA87C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0.1℃</w:t>
            </w:r>
          </w:p>
        </w:tc>
      </w:tr>
      <w:tr w14:paraId="387A0E9F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76923943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内槽容积（长*宽*深mm）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29FC65E4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170*180*130mm</w:t>
            </w:r>
          </w:p>
        </w:tc>
      </w:tr>
      <w:tr w14:paraId="7503EDC1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263DA944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循环泵流量（L/min）</w:t>
            </w:r>
          </w:p>
          <w:p w14:paraId="576A0650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6D9E2A65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8L/min</w:t>
            </w:r>
          </w:p>
        </w:tc>
      </w:tr>
      <w:tr w14:paraId="041ADEDB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441B6592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加水口（mm）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075F7F63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Φ35mm</w:t>
            </w:r>
          </w:p>
        </w:tc>
      </w:tr>
      <w:tr w14:paraId="41B26165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6933E9D3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总容量（L）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24663561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3.5L</w:t>
            </w:r>
          </w:p>
        </w:tc>
      </w:tr>
      <w:tr w14:paraId="1A433E9D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4E7B2AAC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循环泵仪器尺寸（深*宽*高mm)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762DF68C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440*300*510mm</w:t>
            </w:r>
          </w:p>
        </w:tc>
      </w:tr>
      <w:tr w14:paraId="37C437D9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2407BC5E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微波仪器尺寸（长*宽*高mm）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7EB183B1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500*480*550</w:t>
            </w:r>
          </w:p>
        </w:tc>
      </w:tr>
      <w:tr w14:paraId="6C7E1975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2D3372C3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超声波主机仪器尺寸（深*宽*高mm)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5C35AFEC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427*340*168</w:t>
            </w:r>
          </w:p>
        </w:tc>
      </w:tr>
      <w:tr w14:paraId="42E3C94B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33196BBE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循环泵仪器净重kg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3565065D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27.5kg</w:t>
            </w:r>
          </w:p>
        </w:tc>
      </w:tr>
    </w:tbl>
    <w:p w14:paraId="036E433C">
      <w:pPr>
        <w:spacing w:line="360" w:lineRule="auto"/>
        <w:ind w:firstLine="480" w:firstLineChars="200"/>
        <w:jc w:val="center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</w:p>
    <w:p w14:paraId="07ED8A08">
      <w:pPr>
        <w:pStyle w:val="10"/>
        <w:spacing w:before="0" w:beforeAutospacing="0" w:after="0" w:afterAutospacing="0" w:line="360" w:lineRule="auto"/>
        <w:rPr>
          <w:rFonts w:hint="default" w:eastAsia="宋体" w:cs="Times New Roman"/>
          <w:b/>
          <w:color w:val="2F5597" w:themeColor="accent1" w:themeShade="BF"/>
          <w:lang w:val="en-US"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cs="Times New Roman"/>
          <w:b/>
          <w:color w:val="2F5597" w:themeColor="accent1" w:themeShade="BF"/>
          <w:lang w:val="en-US"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4</w:t>
      </w:r>
      <w:r>
        <w:rPr>
          <w:rFonts w:hint="eastAsia"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、</w:t>
      </w:r>
      <w:r>
        <w:rPr>
          <w:rFonts w:hint="eastAsia" w:cs="Times New Roman"/>
          <w:b/>
          <w:color w:val="2F5597" w:themeColor="accent1" w:themeShade="BF"/>
          <w:lang w:val="en-US"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装箱清单</w:t>
      </w:r>
    </w:p>
    <w:tbl>
      <w:tblPr>
        <w:tblStyle w:val="12"/>
        <w:tblpPr w:leftFromText="180" w:rightFromText="180" w:vertAnchor="text" w:horzAnchor="page" w:tblpX="1800" w:tblpY="204"/>
        <w:tblOverlap w:val="never"/>
        <w:tblW w:w="4998" w:type="pct"/>
        <w:tblInd w:w="0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7"/>
        <w:gridCol w:w="4980"/>
        <w:gridCol w:w="1872"/>
      </w:tblGrid>
      <w:tr w14:paraId="14809499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2B5506CD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序号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55A00283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名称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55343AC5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数量</w:t>
            </w:r>
          </w:p>
        </w:tc>
      </w:tr>
      <w:tr w14:paraId="34B93B84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35427472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2BFFA2C0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主机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09C4A9E8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1台</w:t>
            </w:r>
          </w:p>
        </w:tc>
      </w:tr>
      <w:tr w14:paraId="22B6D50E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0BCA7CB2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5A8F9BFA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工具盒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1313E71B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1盒</w:t>
            </w:r>
          </w:p>
        </w:tc>
      </w:tr>
      <w:tr w14:paraId="25DE6BE1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43166CA8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4EA422B2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冷凝口软管&amp;进料口软管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780AC99D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各1根</w:t>
            </w:r>
          </w:p>
        </w:tc>
      </w:tr>
      <w:tr w14:paraId="4CEDB08F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7F59E740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071E7B6F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四口烧瓶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2A898292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1个</w:t>
            </w:r>
          </w:p>
        </w:tc>
      </w:tr>
      <w:tr w14:paraId="694469F9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01DB2C41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346D37F6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四口瓶塞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69130B3C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4个</w:t>
            </w:r>
          </w:p>
        </w:tc>
      </w:tr>
      <w:tr w14:paraId="7CC32851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5F53727F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61E9AB71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进料口接头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14161FC8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2个</w:t>
            </w:r>
          </w:p>
        </w:tc>
      </w:tr>
      <w:tr w14:paraId="518C2DAF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4F5F2352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46CDE037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冷凝管玻璃塞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28D2ED88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1个</w:t>
            </w:r>
          </w:p>
        </w:tc>
      </w:tr>
      <w:tr w14:paraId="79448A10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4858EE37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4EC4FE07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蛇形冷凝管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2628CDF2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1个</w:t>
            </w:r>
          </w:p>
        </w:tc>
      </w:tr>
      <w:tr w14:paraId="2A7A5972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272C13BA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33908D91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冷水机软管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0FBC5032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2根</w:t>
            </w:r>
          </w:p>
        </w:tc>
      </w:tr>
      <w:tr w14:paraId="16E4CD95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3484FD87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1BCF6BB7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冷凝口接头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62506B19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2个</w:t>
            </w:r>
          </w:p>
        </w:tc>
      </w:tr>
      <w:tr w14:paraId="783A46CB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62A8CEE4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11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240B1A52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冷凝管固定支架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70F53931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1根</w:t>
            </w:r>
          </w:p>
        </w:tc>
      </w:tr>
      <w:tr w14:paraId="7DD1A0B3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644F53F1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12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2BDB657A"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温度传感器接头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03A79295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1根</w:t>
            </w:r>
          </w:p>
        </w:tc>
      </w:tr>
      <w:tr w14:paraId="3C6B4459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2C105458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13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4295A364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配件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15C32ADE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1组</w:t>
            </w:r>
          </w:p>
        </w:tc>
      </w:tr>
      <w:tr w14:paraId="6DAC17FF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733772B0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14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3D1C07E9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说明书&amp;合格证&amp;保修卡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6ACCFABA"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各1份</w:t>
            </w:r>
          </w:p>
        </w:tc>
      </w:tr>
    </w:tbl>
    <w:p w14:paraId="3519B520">
      <w:pPr>
        <w:spacing w:line="360" w:lineRule="auto"/>
        <w:ind w:firstLine="480" w:firstLineChars="200"/>
        <w:jc w:val="center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0" w:footer="964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CF7B59">
    <w:pPr>
      <w:pStyle w:val="5"/>
      <w:keepNext w:val="0"/>
      <w:keepLines w:val="0"/>
      <w:widowControl/>
      <w:shd w:val="clear" w:color="auto" w:fill="FFFFFF"/>
      <w:spacing w:before="120" w:after="120"/>
      <w:rPr>
        <w:rFonts w:ascii="宋体" w:hAnsi="宋体" w:eastAsia="宋体" w:cs="宋体"/>
        <w:color w:val="181717" w:themeColor="background2" w:themeShade="1A"/>
        <w:sz w:val="18"/>
        <w:szCs w:val="18"/>
      </w:rPr>
    </w:pPr>
  </w:p>
  <w:p w14:paraId="7DCF2AEB">
    <w:pPr>
      <w:pStyle w:val="5"/>
      <w:keepNext w:val="0"/>
      <w:keepLines w:val="0"/>
      <w:widowControl/>
      <w:shd w:val="clear" w:color="auto" w:fill="FFFFFF"/>
      <w:spacing w:before="120" w:after="120"/>
      <w:rPr>
        <w:rFonts w:ascii="微软雅黑" w:hAnsi="微软雅黑" w:eastAsia="微软雅黑" w:cs="微软雅黑"/>
        <w:color w:val="959FE7"/>
        <w:sz w:val="18"/>
        <w:szCs w:val="18"/>
      </w:rPr>
    </w:pPr>
  </w:p>
  <w:p w14:paraId="1D94875A">
    <w:pPr>
      <w:pStyle w:val="8"/>
      <w:ind w:firstLine="960" w:firstLineChars="400"/>
      <w:rPr>
        <w:sz w:val="24"/>
        <w:szCs w:val="24"/>
        <w14:textOutline w14:w="12700" w14:cap="flat" w14:cmpd="sng" w14:algn="ctr">
          <w14:solidFill>
            <w14:schemeClr w14:val="accent1"/>
          </w14:solidFill>
          <w14:prstDash w14:val="solid"/>
          <w14:round/>
        </w14:textOutline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66A562">
    <w:pPr>
      <w:pStyle w:val="10"/>
      <w:spacing w:line="240" w:lineRule="atLeast"/>
      <w:jc w:val="both"/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</w:pPr>
    <w:r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  <w:drawing>
        <wp:inline distT="0" distB="0" distL="114300" distR="114300">
          <wp:extent cx="824865" cy="824865"/>
          <wp:effectExtent l="0" t="0" r="13335" b="13335"/>
          <wp:docPr id="2" name="图片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4865" cy="824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EDF692">
    <w:pPr>
      <w:pStyle w:val="9"/>
      <w:pBdr>
        <w:bottom w:val="none" w:color="auto" w:sz="0" w:space="1"/>
      </w:pBdr>
      <w:tabs>
        <w:tab w:val="center" w:pos="4153"/>
        <w:tab w:val="right" w:pos="8306"/>
      </w:tabs>
      <w:jc w:val="center"/>
      <w:rPr>
        <w:b/>
        <w:color w:val="203864" w:themeColor="accent1" w:themeShade="80"/>
        <w:sz w:val="30"/>
        <w:szCs w:val="30"/>
      </w:rPr>
    </w:pPr>
    <w:r>
      <w:rPr>
        <w:rFonts w:hint="eastAsia"/>
        <w:b/>
        <w:color w:val="203864" w:themeColor="accent1" w:themeShade="80"/>
        <w:sz w:val="30"/>
        <w:szCs w:val="30"/>
      </w:rPr>
      <w:t>上海沪析实业有限公司</w:t>
    </w:r>
  </w:p>
  <w:p w14:paraId="0BAF35A4">
    <w:pPr>
      <w:jc w:val="center"/>
      <w:rPr>
        <w:sz w:val="24"/>
        <w:szCs w:val="24"/>
      </w:rPr>
    </w:pPr>
    <w:r>
      <w:rPr>
        <w:rFonts w:hint="eastAsia"/>
        <w:b/>
        <w:bCs/>
        <w:color w:val="203864" w:themeColor="accent1" w:themeShade="80"/>
        <w:kern w:val="0"/>
      </w:rPr>
      <w:t>Shanghai Huxi Industry Co., Ltd.,</w:t>
    </w:r>
  </w:p>
  <w:p w14:paraId="2B4BFC72">
    <w:pPr>
      <w:pStyle w:val="9"/>
      <w:jc w:val="both"/>
    </w:pPr>
  </w:p>
  <w:p w14:paraId="70F5B033">
    <w:pPr>
      <w:pStyle w:val="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hlYzdmZDU4NDA1NmI5ODM1ZDk5MTc4M2VjMzgyYjMifQ=="/>
  </w:docVars>
  <w:rsids>
    <w:rsidRoot w:val="00172A27"/>
    <w:rsid w:val="00000422"/>
    <w:rsid w:val="0002414F"/>
    <w:rsid w:val="00091A92"/>
    <w:rsid w:val="000A30B6"/>
    <w:rsid w:val="000F0EE7"/>
    <w:rsid w:val="00172A27"/>
    <w:rsid w:val="001C2F0D"/>
    <w:rsid w:val="0020067A"/>
    <w:rsid w:val="00227827"/>
    <w:rsid w:val="00262F28"/>
    <w:rsid w:val="002B6FFF"/>
    <w:rsid w:val="002C777E"/>
    <w:rsid w:val="002F2DF2"/>
    <w:rsid w:val="002F500E"/>
    <w:rsid w:val="002F74BD"/>
    <w:rsid w:val="00343CBD"/>
    <w:rsid w:val="003775A9"/>
    <w:rsid w:val="003D498D"/>
    <w:rsid w:val="004A2EE0"/>
    <w:rsid w:val="004E7E09"/>
    <w:rsid w:val="00535C95"/>
    <w:rsid w:val="00580C1D"/>
    <w:rsid w:val="00596893"/>
    <w:rsid w:val="005A5BBC"/>
    <w:rsid w:val="0069114D"/>
    <w:rsid w:val="006B6DB7"/>
    <w:rsid w:val="00741072"/>
    <w:rsid w:val="007650E0"/>
    <w:rsid w:val="007A51F4"/>
    <w:rsid w:val="00854961"/>
    <w:rsid w:val="008B2ECB"/>
    <w:rsid w:val="00955DE4"/>
    <w:rsid w:val="0098299C"/>
    <w:rsid w:val="00990FAD"/>
    <w:rsid w:val="009E7CF6"/>
    <w:rsid w:val="00A4672B"/>
    <w:rsid w:val="00A94E0D"/>
    <w:rsid w:val="00AA4A1B"/>
    <w:rsid w:val="00AA5CBF"/>
    <w:rsid w:val="00B61697"/>
    <w:rsid w:val="00B839ED"/>
    <w:rsid w:val="00BD42F1"/>
    <w:rsid w:val="00C47428"/>
    <w:rsid w:val="00C83139"/>
    <w:rsid w:val="00DA0404"/>
    <w:rsid w:val="00DA6A09"/>
    <w:rsid w:val="00E15CAB"/>
    <w:rsid w:val="00E2271A"/>
    <w:rsid w:val="00E43C10"/>
    <w:rsid w:val="00E54BE6"/>
    <w:rsid w:val="00E610B3"/>
    <w:rsid w:val="00E62DD8"/>
    <w:rsid w:val="00E900EE"/>
    <w:rsid w:val="00EC783E"/>
    <w:rsid w:val="00EF22FA"/>
    <w:rsid w:val="00EF585C"/>
    <w:rsid w:val="00F961F4"/>
    <w:rsid w:val="00FB5352"/>
    <w:rsid w:val="00FE197F"/>
    <w:rsid w:val="01167BA7"/>
    <w:rsid w:val="013C070D"/>
    <w:rsid w:val="017212D3"/>
    <w:rsid w:val="02AA71DB"/>
    <w:rsid w:val="02D933F4"/>
    <w:rsid w:val="02F87F3E"/>
    <w:rsid w:val="03E346CA"/>
    <w:rsid w:val="03F258F4"/>
    <w:rsid w:val="04E918A9"/>
    <w:rsid w:val="059A70EE"/>
    <w:rsid w:val="0692734F"/>
    <w:rsid w:val="07553E41"/>
    <w:rsid w:val="091F1204"/>
    <w:rsid w:val="0A184A29"/>
    <w:rsid w:val="0A366F57"/>
    <w:rsid w:val="0A965B96"/>
    <w:rsid w:val="0B8F3C31"/>
    <w:rsid w:val="0D3E7415"/>
    <w:rsid w:val="0E9438E5"/>
    <w:rsid w:val="10C02CE0"/>
    <w:rsid w:val="10E60B82"/>
    <w:rsid w:val="11385EB2"/>
    <w:rsid w:val="117D1E52"/>
    <w:rsid w:val="12F323D9"/>
    <w:rsid w:val="13377D20"/>
    <w:rsid w:val="15712668"/>
    <w:rsid w:val="15D5436E"/>
    <w:rsid w:val="162626F1"/>
    <w:rsid w:val="163338FF"/>
    <w:rsid w:val="167836D1"/>
    <w:rsid w:val="16855545"/>
    <w:rsid w:val="16A71820"/>
    <w:rsid w:val="18711AC3"/>
    <w:rsid w:val="1886336C"/>
    <w:rsid w:val="18BE4E42"/>
    <w:rsid w:val="18E75226"/>
    <w:rsid w:val="19471AEB"/>
    <w:rsid w:val="1976192B"/>
    <w:rsid w:val="1A4C7833"/>
    <w:rsid w:val="1AB80B3F"/>
    <w:rsid w:val="1B871C86"/>
    <w:rsid w:val="1C4A28F1"/>
    <w:rsid w:val="1C8D4EFF"/>
    <w:rsid w:val="1D04709D"/>
    <w:rsid w:val="1D572BE1"/>
    <w:rsid w:val="1DFF3D68"/>
    <w:rsid w:val="1E486378"/>
    <w:rsid w:val="1EEB4FA4"/>
    <w:rsid w:val="1F995798"/>
    <w:rsid w:val="20FD0276"/>
    <w:rsid w:val="2159429D"/>
    <w:rsid w:val="216A23E2"/>
    <w:rsid w:val="22062449"/>
    <w:rsid w:val="22882D11"/>
    <w:rsid w:val="22E601DB"/>
    <w:rsid w:val="23243285"/>
    <w:rsid w:val="238169D3"/>
    <w:rsid w:val="241D3C4F"/>
    <w:rsid w:val="246A0583"/>
    <w:rsid w:val="24AE6CFC"/>
    <w:rsid w:val="26236FA9"/>
    <w:rsid w:val="270A6E69"/>
    <w:rsid w:val="28DC623A"/>
    <w:rsid w:val="28E74A12"/>
    <w:rsid w:val="295A600F"/>
    <w:rsid w:val="295E0169"/>
    <w:rsid w:val="29A931D4"/>
    <w:rsid w:val="2A602115"/>
    <w:rsid w:val="2A847618"/>
    <w:rsid w:val="2AC31D90"/>
    <w:rsid w:val="2B3C4900"/>
    <w:rsid w:val="2BE36FED"/>
    <w:rsid w:val="2C2B4AD0"/>
    <w:rsid w:val="2C936415"/>
    <w:rsid w:val="2C9C151B"/>
    <w:rsid w:val="2CBC35B2"/>
    <w:rsid w:val="2D270418"/>
    <w:rsid w:val="2D9E504D"/>
    <w:rsid w:val="2DBB4423"/>
    <w:rsid w:val="2E5E5B1C"/>
    <w:rsid w:val="30667F5E"/>
    <w:rsid w:val="32494755"/>
    <w:rsid w:val="34121BAC"/>
    <w:rsid w:val="348346E6"/>
    <w:rsid w:val="348E7F12"/>
    <w:rsid w:val="34FC0772"/>
    <w:rsid w:val="35B92EB0"/>
    <w:rsid w:val="35C62DC6"/>
    <w:rsid w:val="36585CBC"/>
    <w:rsid w:val="36764981"/>
    <w:rsid w:val="36E10A24"/>
    <w:rsid w:val="379C5565"/>
    <w:rsid w:val="38950DA7"/>
    <w:rsid w:val="3A045A6B"/>
    <w:rsid w:val="3A542ACC"/>
    <w:rsid w:val="3ABF1760"/>
    <w:rsid w:val="3B730410"/>
    <w:rsid w:val="3BB56AC5"/>
    <w:rsid w:val="3C5E63A4"/>
    <w:rsid w:val="3D512FDD"/>
    <w:rsid w:val="3DA6127B"/>
    <w:rsid w:val="3DEB6E30"/>
    <w:rsid w:val="3E2B5E06"/>
    <w:rsid w:val="3E686015"/>
    <w:rsid w:val="40764144"/>
    <w:rsid w:val="410B44C7"/>
    <w:rsid w:val="41BF4080"/>
    <w:rsid w:val="428733E9"/>
    <w:rsid w:val="43EA5F2F"/>
    <w:rsid w:val="442711AA"/>
    <w:rsid w:val="452667FE"/>
    <w:rsid w:val="468E2FF9"/>
    <w:rsid w:val="471E1235"/>
    <w:rsid w:val="47452E02"/>
    <w:rsid w:val="476C61D1"/>
    <w:rsid w:val="47B21EF7"/>
    <w:rsid w:val="498B526A"/>
    <w:rsid w:val="49F622FF"/>
    <w:rsid w:val="4A151CD4"/>
    <w:rsid w:val="4A527F2C"/>
    <w:rsid w:val="4A5B32C9"/>
    <w:rsid w:val="4AA4627F"/>
    <w:rsid w:val="4ABD11B4"/>
    <w:rsid w:val="4ADC76DB"/>
    <w:rsid w:val="4CA81950"/>
    <w:rsid w:val="4D47724B"/>
    <w:rsid w:val="4D4E77F2"/>
    <w:rsid w:val="4DD60620"/>
    <w:rsid w:val="4E931B10"/>
    <w:rsid w:val="4F344900"/>
    <w:rsid w:val="4FD73045"/>
    <w:rsid w:val="50A763B8"/>
    <w:rsid w:val="50AC16EB"/>
    <w:rsid w:val="51C771E3"/>
    <w:rsid w:val="51F9487C"/>
    <w:rsid w:val="52EE746C"/>
    <w:rsid w:val="53FC2F37"/>
    <w:rsid w:val="5452446D"/>
    <w:rsid w:val="5636758A"/>
    <w:rsid w:val="563C7D3B"/>
    <w:rsid w:val="56425ACF"/>
    <w:rsid w:val="567A4548"/>
    <w:rsid w:val="56E0707C"/>
    <w:rsid w:val="576F688D"/>
    <w:rsid w:val="57D41957"/>
    <w:rsid w:val="5826783E"/>
    <w:rsid w:val="58926505"/>
    <w:rsid w:val="58C6092D"/>
    <w:rsid w:val="58F34817"/>
    <w:rsid w:val="59071320"/>
    <w:rsid w:val="591C6583"/>
    <w:rsid w:val="594D1214"/>
    <w:rsid w:val="59AB3574"/>
    <w:rsid w:val="5B204330"/>
    <w:rsid w:val="5B605153"/>
    <w:rsid w:val="5BDA755D"/>
    <w:rsid w:val="5C2719BA"/>
    <w:rsid w:val="5DDC6E97"/>
    <w:rsid w:val="607225C9"/>
    <w:rsid w:val="608B6872"/>
    <w:rsid w:val="60DD4FA9"/>
    <w:rsid w:val="61FA2450"/>
    <w:rsid w:val="624F31B6"/>
    <w:rsid w:val="626F460D"/>
    <w:rsid w:val="62737F03"/>
    <w:rsid w:val="62BD7680"/>
    <w:rsid w:val="62EE29DB"/>
    <w:rsid w:val="630A0FFD"/>
    <w:rsid w:val="63B80222"/>
    <w:rsid w:val="649D0C4F"/>
    <w:rsid w:val="64BB3B0A"/>
    <w:rsid w:val="65173864"/>
    <w:rsid w:val="6565085D"/>
    <w:rsid w:val="65656C3E"/>
    <w:rsid w:val="660E41BF"/>
    <w:rsid w:val="67074C35"/>
    <w:rsid w:val="67B86FD5"/>
    <w:rsid w:val="68CC736B"/>
    <w:rsid w:val="68FB2629"/>
    <w:rsid w:val="69A05A18"/>
    <w:rsid w:val="6AB4227F"/>
    <w:rsid w:val="6AC503C3"/>
    <w:rsid w:val="6AD05C4D"/>
    <w:rsid w:val="6B32144F"/>
    <w:rsid w:val="6B3B6611"/>
    <w:rsid w:val="6B4176E8"/>
    <w:rsid w:val="6B5251F4"/>
    <w:rsid w:val="6B6C7258"/>
    <w:rsid w:val="6B7676D1"/>
    <w:rsid w:val="6BA7011A"/>
    <w:rsid w:val="6DC7675A"/>
    <w:rsid w:val="6DFB560B"/>
    <w:rsid w:val="6E1340FC"/>
    <w:rsid w:val="6E684768"/>
    <w:rsid w:val="6F17421F"/>
    <w:rsid w:val="6F7B3153"/>
    <w:rsid w:val="6F975B11"/>
    <w:rsid w:val="705A68CE"/>
    <w:rsid w:val="71B96608"/>
    <w:rsid w:val="71E561F0"/>
    <w:rsid w:val="72DC41BF"/>
    <w:rsid w:val="73587C07"/>
    <w:rsid w:val="737F1A45"/>
    <w:rsid w:val="73974732"/>
    <w:rsid w:val="73AE3639"/>
    <w:rsid w:val="74A64C8E"/>
    <w:rsid w:val="75B46F5B"/>
    <w:rsid w:val="75EA64FF"/>
    <w:rsid w:val="76E353C5"/>
    <w:rsid w:val="77C15694"/>
    <w:rsid w:val="77DF1FFC"/>
    <w:rsid w:val="78323E75"/>
    <w:rsid w:val="7836761B"/>
    <w:rsid w:val="78F84331"/>
    <w:rsid w:val="79FB6B36"/>
    <w:rsid w:val="7A61311F"/>
    <w:rsid w:val="7A664B08"/>
    <w:rsid w:val="7AA2317C"/>
    <w:rsid w:val="7B1B79EC"/>
    <w:rsid w:val="7B59763B"/>
    <w:rsid w:val="7B70313E"/>
    <w:rsid w:val="7B965710"/>
    <w:rsid w:val="7CAD3559"/>
    <w:rsid w:val="7D806002"/>
    <w:rsid w:val="7E753733"/>
    <w:rsid w:val="7EC17CA9"/>
    <w:rsid w:val="7F5B0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qFormat="1"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4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9"/>
    <w:autoRedefine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autoRedefine/>
    <w:qFormat/>
    <w:uiPriority w:val="0"/>
    <w:pPr>
      <w:pBdr>
        <w:bottom w:val="single" w:color="auto" w:sz="6" w:space="1"/>
      </w:pBdr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2">
    <w:name w:val="Table Grid"/>
    <w:basedOn w:val="11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3">
    <w:name w:val="Light Grid Accent 5"/>
    <w:basedOn w:val="11"/>
    <w:autoRedefine/>
    <w:qFormat/>
    <w:uiPriority w:val="62"/>
    <w:tblPr>
      <w:tblBorders>
        <w:top w:val="single" w:color="5B9BD5" w:themeColor="accent5" w:sz="8" w:space="0"/>
        <w:left w:val="single" w:color="5B9BD5" w:themeColor="accent5" w:sz="8" w:space="0"/>
        <w:bottom w:val="single" w:color="5B9BD5" w:themeColor="accent5" w:sz="8" w:space="0"/>
        <w:right w:val="single" w:color="5B9BD5" w:themeColor="accent5" w:sz="8" w:space="0"/>
        <w:insideH w:val="single" w:color="5B9BD5" w:themeColor="accent5" w:sz="8" w:space="0"/>
        <w:insideV w:val="single" w:color="5B9BD5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1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5B9BD5" w:themeColor="accent5" w:sz="6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</w:tcPr>
    </w:tblStylePr>
    <w:tblStylePr w:type="band1Vert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</w:tcPr>
    </w:tblStylePr>
  </w:style>
  <w:style w:type="character" w:styleId="15">
    <w:name w:val="Strong"/>
    <w:basedOn w:val="14"/>
    <w:autoRedefine/>
    <w:qFormat/>
    <w:uiPriority w:val="22"/>
    <w:rPr>
      <w:b/>
      <w:bCs/>
    </w:rPr>
  </w:style>
  <w:style w:type="character" w:styleId="16">
    <w:name w:val="Hyperlink"/>
    <w:basedOn w:val="14"/>
    <w:autoRedefine/>
    <w:unhideWhenUsed/>
    <w:qFormat/>
    <w:uiPriority w:val="99"/>
    <w:rPr>
      <w:color w:val="0000FF"/>
      <w:u w:val="single"/>
    </w:rPr>
  </w:style>
  <w:style w:type="character" w:customStyle="1" w:styleId="17">
    <w:name w:val="页脚 Char"/>
    <w:basedOn w:val="14"/>
    <w:link w:val="8"/>
    <w:autoRedefine/>
    <w:qFormat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autoRedefine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9">
    <w:name w:val="批注框文本 Char"/>
    <w:basedOn w:val="14"/>
    <w:link w:val="7"/>
    <w:autoRedefine/>
    <w:semiHidden/>
    <w:qFormat/>
    <w:uiPriority w:val="99"/>
    <w:rPr>
      <w:kern w:val="2"/>
      <w:sz w:val="18"/>
      <w:szCs w:val="18"/>
    </w:rPr>
  </w:style>
  <w:style w:type="paragraph" w:customStyle="1" w:styleId="20">
    <w:name w:val="样式1"/>
    <w:basedOn w:val="1"/>
    <w:next w:val="8"/>
    <w:autoRedefine/>
    <w:qFormat/>
    <w:uiPriority w:val="0"/>
    <w:pPr>
      <w:jc w:val="center"/>
    </w:pPr>
  </w:style>
  <w:style w:type="paragraph" w:customStyle="1" w:styleId="21">
    <w:name w:val="列出段落1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</a:ln>
      </a:spPr>
      <a:bodyPr rot="0" vert="horz" wrap="square" lIns="91440" tIns="45720" rIns="91440" bIns="45720" anchor="t" anchorCtr="0">
        <a:noAutofit/>
      </a:bodyPr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7827B9-FC2E-4E73-B9DA-8BC9F203935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1271</Words>
  <Characters>1563</Characters>
  <Lines>5</Lines>
  <Paragraphs>1</Paragraphs>
  <TotalTime>0</TotalTime>
  <ScaleCrop>false</ScaleCrop>
  <LinksUpToDate>false</LinksUpToDate>
  <CharactersWithSpaces>1564</CharactersWithSpaces>
  <Application>WPS Office_12.1.0.25860_F1E327BC-269C-435d-A152-05C5408002CA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2018-05-21T01:33:00Z</dcterms:created>
  <dc:creator>孙长娟</dc:creator>
  <cp:lastModifiedBy>五七</cp:lastModifiedBy>
  <dcterms:modified xsi:type="dcterms:W3CDTF">2026-05-19T03:26:47Z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2052-12.1.0.25860</vt:lpwstr>
  </property>
  <property fmtid="{D5CDD505-2E9C-101B-9397-08002B2CF9AE}" pid="3" name="ICV">
    <vt:lpwstr>CD0D0FAF61F34A04BC04A3FDEF86434F</vt:lpwstr>
  </property>
  <property fmtid="{D5CDD505-2E9C-101B-9397-08002B2CF9AE}" pid="4" name="KSOTemplateDocerSaveRecord">
    <vt:lpwstr>eyJoZGlkIjoiNmNlZjQwZGI4ZDEwOWQxNzVjYzQ0MmQ0MzZiYjgzZTkiLCJ1c2VySWQiOiI0MzIzNDk0NzMifQ==</vt:lpwstr>
  </property>
</Properties>
</file>