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15A6D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sz w:val="30"/>
        </w:rPr>
      </w:pPr>
      <w:r>
        <w:rPr>
          <w:sz w:val="30"/>
        </w:rPr>
        <w:drawing>
          <wp:inline distT="0" distB="0" distL="114300" distR="114300">
            <wp:extent cx="2853690" cy="2853690"/>
            <wp:effectExtent l="0" t="0" r="3810" b="3810"/>
            <wp:docPr id="1" name="图片 1" descr="46865277343bb594c36e1d5a17b38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6865277343bb594c36e1d5a17b38c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3019425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52441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Vortex-2A旋涡混匀仪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5pt;margin-top:237.7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lCHRC9oAAAAL&#10;AQAADwAAAGRycy9kb3ducmV2LnhtbE2PwU7DMBBE70j8g7VI3KjTFjclxOmhEr0gDhQEVyfeJlHi&#10;dRS7aeDrWU5wnJ3R7Jt8N7teTDiG1pOG5SIBgVR521Kt4f3t6W4LIkRD1vSeUMMXBtgV11e5yay/&#10;0CtOx1gLLqGQGQ1NjEMmZagadCYs/IDE3smPzkSWYy3taC5c7nq5SpKNdKYl/tCYAfcNVt3x7DS8&#10;mI9DnOauOnTDyX66odyvv5+1vr1ZJo8gIs7xLwy/+IwOBTOV/kw2iF7D6iHlLVHDfaoUCE6oreJL&#10;qSHdrBXIIpf/NxQ/UEsDBBQAAAAIAIdO4kAifS+2NgIAAGUEAAAOAAAAZHJzL2Uyb0RvYy54bWyt&#10;VM2O0zAQviPxDpbvNG3pLqVquipbFSGt2JUK4uw6ThPJf7LdJuUB4A04ceHOc/U5+Oy03WrhsAcu&#10;ztgz/sbfNzOZ3rRKkp1wvjY6p4NenxKhuSlqvcnp50/LV2NKfGC6YNJokdO98PRm9vLFtLETMTSV&#10;kYVwBCDaTxqb0yoEO8kyzyuhmO8ZKzScpXGKBWzdJisca4CuZDbs96+zxrjCOsOF9zhddE56RHTP&#10;ATRlWXOxMHyrhA4dqhOSBVDyVW09naXXlqXg4b4svQhE5hRMQ1qRBPY6rtlsyiYbx2xV8+MT2HOe&#10;8ISTYrVG0jPUggVGtq7+C0rV3BlvytDjRmUdkaQIWAz6T7RZVcyKxAVSe3sW3f8/WP5x9+BIXeR0&#10;RIlmCgU//Ph++Pn78OsbGUV5GusniFpZxIX2nWnRNKdzj8PIui2dil/wIfBD3P1ZXNEGwuOl8XA8&#10;7sPF4TttgJ89XrfOh/fCKBKNnDpUL4nKdnc+dKGnkJhNm2UtZaqg1KTJ6fXrq366cPYAXGrkiCS6&#10;x0YrtOv2yGxtij2IOdN1hrd8WSP5HfPhgTm0Ah6MYQn3WEppkMQcLUoq477+6zzGo0LwUtKgtXKq&#10;MUmUyA8alXs7GI0AGtJmdPVmiI279KwvPXqrbg16d4ChtDyZMT7Ik1k6o75gouYxJ1xMc2TOaTiZ&#10;t6Frd0wkF/N5CkLvWRbu9MryCB3F9Ha+DRA06RxF6pQ5aofuS5U6Tkps78t9inr8O8z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Qh0QvaAAAACwEAAA8AAAAAAAAAAQAgAAAAIgAAAGRycy9kb3du&#10;cmV2LnhtbFBLAQIUABQAAAAIAIdO4kAifS+2NgIAAGUEAAAOAAAAAAAAAAEAIAAAACk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2F252441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Vortex-2A旋涡混匀仪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DE86089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876300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5pt;margin-top:69pt;height:0.3pt;width:415.15pt;z-index:-251655168;mso-width-relative:page;mso-height-relative:page;" filled="f" stroked="t" coordsize="21600,21600" o:gfxdata="UEsDBAoAAAAAAIdO4kAAAAAAAAAAAAAAAAAEAAAAZHJzL1BLAwQUAAAACACHTuJAc5OAjNYAAAAK&#10;AQAADwAAAGRycy9kb3ducmV2LnhtbE2PTUvDQBCG74L/YRnBW7tJhTTEbAoKgnozLehxmp0modnZ&#10;NLv9+veOXvQ47zy8H+Xq4gZ1oin0ng2k8wQUceNtz62BzfplloMKEdni4JkMXCnAqrq9KbGw/swf&#10;dKpjq8SEQ4EGuhjHQuvQdOQwzP1ILL+dnxxGOadW2wnPYu4GvUiSTDvsWRI6HOm5o2ZfH52Br337&#10;6XHdLftD/bR7f7ti80oHY+7v0uQRVKRL/IPhp75Uh0o6bf2RbVCDgVm6FFL0h1w2CZAv8gzU9lfJ&#10;QFel/j+h+gZ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5OAjNYAAAAK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874DB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6874DB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39020101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旋涡混匀仪具有结构简单可靠，仪器体积小，耗电省，噪音低等特点，广泛应用于生物化学，基因工程，医学等实验需求。对液液、液固、固固（粉末）混合，它能将所需混合的任何液体、粉末以高速旋涡式快速混合，混合速度快、均匀、彻底。</w:t>
      </w:r>
    </w:p>
    <w:p w14:paraId="3A52E2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1CD5C2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7D50B7B2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转速最高可达2800rpm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445E2719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偏心球轴设计，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振动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头安装方便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02581BB0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柔软硅胶脚垫，防止仪器在高速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振动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时移动，外形小巧，防震，适合高速工作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694388F2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体积小，耗电省，噪音低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0B590149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机体均采用增强型工程塑料成型技术，机体无油漆喷涂，耐酸碱，耐碰撞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4E3844FC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工作台面全部为耐腐、耐磨、安全的TPU材料，改变原海绵台面易破损的特点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2E2F26D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仪器集成了连续，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点振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，连续，调速等功能，为实验提供了快速的操作平台。</w:t>
      </w:r>
    </w:p>
    <w:p w14:paraId="5A44A8FD">
      <w:pPr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66F3E9C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2CAC07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51517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2510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Vortex-2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</w:t>
            </w:r>
          </w:p>
        </w:tc>
      </w:tr>
      <w:tr w14:paraId="042F61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9A0FA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165A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1001015001</w:t>
            </w:r>
          </w:p>
        </w:tc>
      </w:tr>
      <w:tr w14:paraId="5AD25F6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FDB4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42E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200~240V/100~120V（选配）</w:t>
            </w:r>
          </w:p>
        </w:tc>
      </w:tr>
      <w:tr w14:paraId="36C417D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F8137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频率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948C7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0~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60Hz</w:t>
            </w:r>
          </w:p>
        </w:tc>
      </w:tr>
      <w:tr w14:paraId="03B0312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C8F8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震荡方式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0E7B7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圆周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运动</w:t>
            </w:r>
          </w:p>
        </w:tc>
      </w:tr>
      <w:tr w14:paraId="2BDB13C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4C33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周转直径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2DBC3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4mm</w:t>
            </w:r>
          </w:p>
        </w:tc>
      </w:tr>
      <w:tr w14:paraId="0B1C6BE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31318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电极类型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8E03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罩极电机</w:t>
            </w:r>
          </w:p>
        </w:tc>
      </w:tr>
      <w:tr w14:paraId="215AF41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AD7B0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电机输入功率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11B4A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60w</w:t>
            </w:r>
          </w:p>
        </w:tc>
      </w:tr>
      <w:tr w14:paraId="3E1FC84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10A72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电机输出功率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282A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11w</w:t>
            </w:r>
          </w:p>
        </w:tc>
      </w:tr>
      <w:tr w14:paraId="3A9C62E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2D5E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转速范围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27D14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0-2800rpm</w:t>
            </w:r>
          </w:p>
        </w:tc>
      </w:tr>
      <w:tr w14:paraId="734F7EC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01D5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转速显示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3CFB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旋钮</w:t>
            </w:r>
          </w:p>
        </w:tc>
      </w:tr>
      <w:tr w14:paraId="1E415AA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35DAD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运行方式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D284E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点动/连续运转</w:t>
            </w:r>
          </w:p>
        </w:tc>
      </w:tr>
      <w:tr w14:paraId="2F918BB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838F81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底座材质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CD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锌合金</w:t>
            </w:r>
          </w:p>
        </w:tc>
      </w:tr>
      <w:tr w14:paraId="481E248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/>
            <w:vAlign w:val="center"/>
          </w:tcPr>
          <w:p w14:paraId="67C85B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允许环境温度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/>
            <w:vAlign w:val="center"/>
          </w:tcPr>
          <w:p w14:paraId="0D4303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5-40℃</w:t>
            </w:r>
          </w:p>
        </w:tc>
      </w:tr>
      <w:tr w14:paraId="657E0E8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/>
            <w:vAlign w:val="center"/>
          </w:tcPr>
          <w:p w14:paraId="5A2894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允许相对温度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/>
            <w:vAlign w:val="center"/>
          </w:tcPr>
          <w:p w14:paraId="7F0B11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80%</w:t>
            </w:r>
          </w:p>
        </w:tc>
      </w:tr>
      <w:tr w14:paraId="11F3743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FFE8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仪器尺寸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97DED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165*130*140mm</w:t>
            </w:r>
          </w:p>
        </w:tc>
      </w:tr>
      <w:tr w14:paraId="03EF5D8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6653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包装尺寸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6E21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35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*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195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*19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mm</w:t>
            </w:r>
          </w:p>
        </w:tc>
      </w:tr>
      <w:tr w14:paraId="213054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587CEF0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净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量</w:t>
            </w: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/毛重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D3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3.6/4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kg</w:t>
            </w:r>
          </w:p>
        </w:tc>
      </w:tr>
    </w:tbl>
    <w:p w14:paraId="5643D5D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</w:pPr>
      <w:bookmarkStart w:id="0" w:name="_GoBack"/>
      <w:bookmarkEnd w:id="0"/>
    </w:p>
    <w:p w14:paraId="6F7AA8C0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可选配件</w:t>
      </w:r>
    </w:p>
    <w:p w14:paraId="7C8C626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drawing>
          <wp:inline distT="0" distB="0" distL="114300" distR="114300">
            <wp:extent cx="5269230" cy="2138680"/>
            <wp:effectExtent l="0" t="0" r="7620" b="13970"/>
            <wp:docPr id="5" name="图片 5" descr="f925d504303a919955a5d54548ca0e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925d504303a919955a5d54548ca0e1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5412"/>
      </w:tblGrid>
      <w:tr w14:paraId="377B4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79A28C60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5412" w:type="dxa"/>
            <w:vAlign w:val="center"/>
          </w:tcPr>
          <w:p w14:paraId="600BEBBD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规格</w:t>
            </w:r>
          </w:p>
        </w:tc>
      </w:tr>
      <w:tr w14:paraId="0869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65FE7A4A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旋紧式标准头</w:t>
            </w:r>
          </w:p>
        </w:tc>
        <w:tc>
          <w:tcPr>
            <w:tcW w:w="5412" w:type="dxa"/>
            <w:vAlign w:val="center"/>
          </w:tcPr>
          <w:p w14:paraId="2102F2D7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用于直径小于30mm的试管和小容器</w:t>
            </w:r>
          </w:p>
        </w:tc>
      </w:tr>
      <w:tr w14:paraId="039AD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660D8DB3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手持撑杆</w:t>
            </w:r>
          </w:p>
        </w:tc>
        <w:tc>
          <w:tcPr>
            <w:tcW w:w="5412" w:type="dxa"/>
            <w:vAlign w:val="center"/>
          </w:tcPr>
          <w:p w14:paraId="62295BE5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手持支撑杆，与试管适配器配用</w:t>
            </w:r>
          </w:p>
        </w:tc>
      </w:tr>
      <w:tr w14:paraId="16CDE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284F19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通用圆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盘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（φ100mm）</w:t>
            </w:r>
          </w:p>
          <w:p w14:paraId="3D23A3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12" w:type="dxa"/>
            <w:vAlign w:val="center"/>
          </w:tcPr>
          <w:p w14:paraId="7DCCFE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100mm圆形平板支架，与试管适配器、垫片配用</w:t>
            </w:r>
          </w:p>
          <w:p w14:paraId="2580BF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13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</w:trPr>
        <w:tc>
          <w:tcPr>
            <w:tcW w:w="3110" w:type="dxa"/>
            <w:vAlign w:val="center"/>
          </w:tcPr>
          <w:p w14:paraId="1F3E34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二合一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平板垫片</w:t>
            </w:r>
          </w:p>
          <w:p w14:paraId="465652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12" w:type="dxa"/>
            <w:vAlign w:val="center"/>
          </w:tcPr>
          <w:p w14:paraId="4DF969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二合一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平板垫片，与φ100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mm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通用圆头连用，试管工位直径φ22mm，垫片直径φ100mm</w:t>
            </w:r>
          </w:p>
          <w:p w14:paraId="698400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90C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3110" w:type="dxa"/>
            <w:vAlign w:val="center"/>
          </w:tcPr>
          <w:p w14:paraId="5E091F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紧锁帽</w:t>
            </w:r>
          </w:p>
        </w:tc>
        <w:tc>
          <w:tcPr>
            <w:tcW w:w="5412" w:type="dxa"/>
            <w:vAlign w:val="center"/>
          </w:tcPr>
          <w:p w14:paraId="1947DF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52mm/32mm，适配于通用圆盘</w:t>
            </w:r>
          </w:p>
        </w:tc>
      </w:tr>
      <w:tr w14:paraId="57D75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00DEE2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12孔1.5或2ml试管适配器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510C03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外径98.5mm、高32mm、孔径9mm，1.5或2ml试管</w:t>
            </w:r>
          </w:p>
        </w:tc>
      </w:tr>
      <w:tr w14:paraId="2B5C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</w:trPr>
        <w:tc>
          <w:tcPr>
            <w:tcW w:w="3110" w:type="dxa"/>
            <w:shd w:val="clear" w:color="auto" w:fill="F2F2F2"/>
            <w:vAlign w:val="center"/>
          </w:tcPr>
          <w:p w14:paraId="2051AC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8孔10ml或15ml试管适配器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66B251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外径98.5mm、高52mm、孔径14mm，10或15ml试管</w:t>
            </w:r>
          </w:p>
        </w:tc>
      </w:tr>
      <w:tr w14:paraId="537B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0ED056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8孔5ml试管适配器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3F85B0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外径98.5mm、高32mm、孔径11mm，5ml试管</w:t>
            </w:r>
          </w:p>
        </w:tc>
      </w:tr>
      <w:tr w14:paraId="6450F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7DC8AD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24孔0.5ml试管适配器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34ED3E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外径98.5mm、高32mm、孔径6.5mm，0.5ml试管</w:t>
            </w:r>
          </w:p>
        </w:tc>
      </w:tr>
      <w:tr w14:paraId="6EFB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6548DB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48孔0.2ml试管适配器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4AF680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外径98.5mm、高32mm、孔径5mm，0.2ml试管</w:t>
            </w:r>
          </w:p>
        </w:tc>
      </w:tr>
    </w:tbl>
    <w:p w14:paraId="44796DF9">
      <w:pPr>
        <w:pStyle w:val="10"/>
        <w:spacing w:before="0" w:beforeAutospacing="0" w:after="0" w:afterAutospacing="0" w:line="360" w:lineRule="auto"/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4D4A990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5、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装箱清单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61"/>
      </w:tblGrid>
      <w:tr w14:paraId="5365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shd w:val="clear" w:color="auto" w:fill="FFFFFF" w:themeFill="background1"/>
            <w:vAlign w:val="center"/>
          </w:tcPr>
          <w:p w14:paraId="2B857A1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770F6B4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2CE5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shd w:val="clear" w:color="auto" w:fill="FFFFFF" w:themeFill="background1"/>
            <w:vAlign w:val="center"/>
          </w:tcPr>
          <w:p w14:paraId="0B024757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</w:t>
            </w: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+电源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1EA79FD2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1套</w:t>
            </w:r>
          </w:p>
        </w:tc>
      </w:tr>
      <w:tr w14:paraId="3EE83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vAlign w:val="center"/>
          </w:tcPr>
          <w:p w14:paraId="412A4F58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标准头</w:t>
            </w:r>
          </w:p>
        </w:tc>
        <w:tc>
          <w:tcPr>
            <w:tcW w:w="2500" w:type="pct"/>
            <w:vAlign w:val="center"/>
          </w:tcPr>
          <w:p w14:paraId="3D4112D7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1个</w:t>
            </w:r>
          </w:p>
        </w:tc>
      </w:tr>
      <w:tr w14:paraId="72FAC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vAlign w:val="center"/>
          </w:tcPr>
          <w:p w14:paraId="21B54C66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说明书&amp;合格证&amp;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保修卡</w:t>
            </w:r>
          </w:p>
        </w:tc>
        <w:tc>
          <w:tcPr>
            <w:tcW w:w="2500" w:type="pct"/>
            <w:vAlign w:val="center"/>
          </w:tcPr>
          <w:p w14:paraId="1B3AA11D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各1份</w:t>
            </w:r>
          </w:p>
        </w:tc>
      </w:tr>
    </w:tbl>
    <w:p w14:paraId="179D5BE1"/>
    <w:p w14:paraId="43ECE8E6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5" w:lineRule="atLeast"/>
        <w:ind w:left="0" w:right="0" w:firstLine="0"/>
        <w:rPr>
          <w:rStyle w:val="15"/>
          <w:rFonts w:hint="eastAsia" w:ascii="宋体" w:hAnsi="宋体" w:eastAsia="宋体" w:cs="宋体"/>
          <w:b w:val="0"/>
          <w:bCs w:val="0"/>
          <w:i w:val="0"/>
          <w:caps w:val="0"/>
          <w:color w:val="2F5597" w:themeColor="accent1" w:themeShade="BF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7532E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2D42B270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5C09A21F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C8617">
    <w:pPr>
      <w:pStyle w:val="10"/>
      <w:spacing w:line="240" w:lineRule="atLeast"/>
      <w:jc w:val="center"/>
      <w:rPr>
        <w:b/>
        <w:bCs/>
        <w:color w:val="203864" w:themeColor="accent1" w:themeShade="80"/>
        <w:sz w:val="32"/>
        <w:szCs w:val="32"/>
      </w:rPr>
    </w:pPr>
    <w:r>
      <w:rPr>
        <w:rFonts w:hint="eastAsia"/>
        <w:b/>
        <w:sz w:val="44"/>
        <w:szCs w:val="4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581660</wp:posOffset>
          </wp:positionH>
          <wp:positionV relativeFrom="paragraph">
            <wp:posOffset>-111125</wp:posOffset>
          </wp:positionV>
          <wp:extent cx="837565" cy="838200"/>
          <wp:effectExtent l="0" t="0" r="635" b="0"/>
          <wp:wrapThrough wrapText="bothSides">
            <wp:wrapPolygon>
              <wp:start x="0" y="0"/>
              <wp:lineTo x="0" y="21109"/>
              <wp:lineTo x="21125" y="21109"/>
              <wp:lineTo x="21125" y="0"/>
              <wp:lineTo x="0" y="0"/>
            </wp:wrapPolygon>
          </wp:wrapThrough>
          <wp:docPr id="2" name="图片 2" descr="D:\.huxi\.huxishiye\产品图片\00logo\logo（800x800）.pnglogo（800x800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D:\.huxi\.huxishiye\产品图片\00logo\logo（800x800）.pnglogo（800x800）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56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B813C6">
    <w:pPr>
      <w:pStyle w:val="9"/>
      <w:pBdr>
        <w:bottom w:val="none" w:color="auto" w:sz="0" w:space="1"/>
      </w:pBdr>
      <w:tabs>
        <w:tab w:val="center" w:pos="4153"/>
        <w:tab w:val="right" w:pos="8306"/>
      </w:tabs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6E125D5E">
    <w:pPr>
      <w:pStyle w:val="9"/>
      <w:pBdr>
        <w:bottom w:val="none" w:color="auto" w:sz="0" w:space="1"/>
      </w:pBdr>
      <w:tabs>
        <w:tab w:val="center" w:pos="4153"/>
        <w:tab w:val="right" w:pos="8306"/>
      </w:tabs>
      <w:ind w:firstLine="2530" w:firstLineChars="1400"/>
      <w:jc w:val="both"/>
      <w:rPr>
        <w:b/>
        <w:color w:val="203864" w:themeColor="accent1" w:themeShade="80"/>
      </w:rPr>
    </w:pPr>
    <w:r>
      <w:rPr>
        <w:rFonts w:hint="eastAsia"/>
        <w:b/>
        <w:bCs/>
        <w:color w:val="203864" w:themeColor="accent1" w:themeShade="80"/>
        <w:kern w:val="0"/>
      </w:rPr>
      <w:t>SHANGHAIHUXIINDUSTRIAL</w:t>
    </w:r>
    <w:r>
      <w:rPr>
        <w:b/>
        <w:bCs/>
        <w:color w:val="203864" w:themeColor="accent1" w:themeShade="80"/>
        <w:kern w:val="0"/>
      </w:rPr>
      <w:t>CO.,LTD.</w:t>
    </w:r>
  </w:p>
  <w:p w14:paraId="4CA42502">
    <w:pPr>
      <w:jc w:val="center"/>
      <w:rPr>
        <w:sz w:val="24"/>
        <w:szCs w:val="24"/>
      </w:rPr>
    </w:pPr>
  </w:p>
  <w:p w14:paraId="076738B2">
    <w:pPr>
      <w:pBdr>
        <w:bottom w:val="dotDash" w:color="003366" w:sz="4" w:space="0"/>
      </w:pBdr>
    </w:pPr>
  </w:p>
  <w:p w14:paraId="3B7D4D1E">
    <w:pPr>
      <w:pBdr>
        <w:bottom w:val="dotDash" w:color="003366" w:sz="4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CB9E8F"/>
    <w:multiLevelType w:val="singleLevel"/>
    <w:tmpl w:val="9FCB9E8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6305EBB6"/>
    <w:multiLevelType w:val="singleLevel"/>
    <w:tmpl w:val="6305EBB6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7212D3"/>
    <w:rsid w:val="02AA71DB"/>
    <w:rsid w:val="02D933F4"/>
    <w:rsid w:val="02F87F3E"/>
    <w:rsid w:val="03F258F4"/>
    <w:rsid w:val="04E918A9"/>
    <w:rsid w:val="0692734F"/>
    <w:rsid w:val="07553E41"/>
    <w:rsid w:val="082D6FB0"/>
    <w:rsid w:val="091F1204"/>
    <w:rsid w:val="0A184A29"/>
    <w:rsid w:val="0A366F57"/>
    <w:rsid w:val="0A965B96"/>
    <w:rsid w:val="0AEF0A53"/>
    <w:rsid w:val="0B1467F0"/>
    <w:rsid w:val="0D027537"/>
    <w:rsid w:val="10C02CE0"/>
    <w:rsid w:val="10E60B82"/>
    <w:rsid w:val="11385EB2"/>
    <w:rsid w:val="117D1E52"/>
    <w:rsid w:val="12296A3A"/>
    <w:rsid w:val="12F323D9"/>
    <w:rsid w:val="13377D20"/>
    <w:rsid w:val="15013102"/>
    <w:rsid w:val="162626F1"/>
    <w:rsid w:val="163338FF"/>
    <w:rsid w:val="167836D1"/>
    <w:rsid w:val="16855545"/>
    <w:rsid w:val="16A71820"/>
    <w:rsid w:val="17463BEB"/>
    <w:rsid w:val="18543020"/>
    <w:rsid w:val="18711AC3"/>
    <w:rsid w:val="1886336C"/>
    <w:rsid w:val="1976192B"/>
    <w:rsid w:val="1A4C7833"/>
    <w:rsid w:val="1AB80B3F"/>
    <w:rsid w:val="1B871C86"/>
    <w:rsid w:val="1C4A28F1"/>
    <w:rsid w:val="1C8D4EFF"/>
    <w:rsid w:val="1D6300B6"/>
    <w:rsid w:val="1E214A6A"/>
    <w:rsid w:val="1E486378"/>
    <w:rsid w:val="1F995798"/>
    <w:rsid w:val="2159429D"/>
    <w:rsid w:val="216A23E2"/>
    <w:rsid w:val="225D4B73"/>
    <w:rsid w:val="22E601DB"/>
    <w:rsid w:val="23243285"/>
    <w:rsid w:val="24005694"/>
    <w:rsid w:val="241D3C4F"/>
    <w:rsid w:val="243C5F3F"/>
    <w:rsid w:val="246A0583"/>
    <w:rsid w:val="2494666D"/>
    <w:rsid w:val="24AE6CFC"/>
    <w:rsid w:val="263E08AF"/>
    <w:rsid w:val="28CC03F4"/>
    <w:rsid w:val="295A600F"/>
    <w:rsid w:val="2A602115"/>
    <w:rsid w:val="2A847618"/>
    <w:rsid w:val="2AC31D90"/>
    <w:rsid w:val="2BE36FED"/>
    <w:rsid w:val="2C2B4AD0"/>
    <w:rsid w:val="2C936415"/>
    <w:rsid w:val="2CBC35B2"/>
    <w:rsid w:val="2D270418"/>
    <w:rsid w:val="2D9E504D"/>
    <w:rsid w:val="2DBB4423"/>
    <w:rsid w:val="2E5E5B1C"/>
    <w:rsid w:val="30667F5E"/>
    <w:rsid w:val="32494755"/>
    <w:rsid w:val="33F60A6E"/>
    <w:rsid w:val="34121BAC"/>
    <w:rsid w:val="34545052"/>
    <w:rsid w:val="348346E6"/>
    <w:rsid w:val="348E7F12"/>
    <w:rsid w:val="35B92EB0"/>
    <w:rsid w:val="36585CBC"/>
    <w:rsid w:val="36E10A24"/>
    <w:rsid w:val="38B93DC5"/>
    <w:rsid w:val="3A045A6B"/>
    <w:rsid w:val="3A542ACC"/>
    <w:rsid w:val="3ABF1760"/>
    <w:rsid w:val="3BE97847"/>
    <w:rsid w:val="3C104C7F"/>
    <w:rsid w:val="3C5E63A4"/>
    <w:rsid w:val="3DA6127B"/>
    <w:rsid w:val="3DEB6E30"/>
    <w:rsid w:val="3E2B5E06"/>
    <w:rsid w:val="3EBB6190"/>
    <w:rsid w:val="401C35B7"/>
    <w:rsid w:val="40764144"/>
    <w:rsid w:val="410B44C7"/>
    <w:rsid w:val="43EA5F2F"/>
    <w:rsid w:val="442711AA"/>
    <w:rsid w:val="445A645C"/>
    <w:rsid w:val="4537679D"/>
    <w:rsid w:val="48822425"/>
    <w:rsid w:val="498B526A"/>
    <w:rsid w:val="4A527F2C"/>
    <w:rsid w:val="4AA4627F"/>
    <w:rsid w:val="4ADC76DB"/>
    <w:rsid w:val="4C066EC9"/>
    <w:rsid w:val="4CA566E2"/>
    <w:rsid w:val="4CA81950"/>
    <w:rsid w:val="4D4E77F2"/>
    <w:rsid w:val="4E931B10"/>
    <w:rsid w:val="4FD73045"/>
    <w:rsid w:val="51C771E3"/>
    <w:rsid w:val="51F9487C"/>
    <w:rsid w:val="52EE746C"/>
    <w:rsid w:val="541128AF"/>
    <w:rsid w:val="5452446D"/>
    <w:rsid w:val="55E07232"/>
    <w:rsid w:val="563C7D3B"/>
    <w:rsid w:val="567A4548"/>
    <w:rsid w:val="576F688D"/>
    <w:rsid w:val="5826783E"/>
    <w:rsid w:val="58926505"/>
    <w:rsid w:val="58BB1662"/>
    <w:rsid w:val="58C6092D"/>
    <w:rsid w:val="58F34817"/>
    <w:rsid w:val="591C6583"/>
    <w:rsid w:val="594D1214"/>
    <w:rsid w:val="59AB3574"/>
    <w:rsid w:val="5B4F7DB3"/>
    <w:rsid w:val="5BDA755D"/>
    <w:rsid w:val="5D535CE6"/>
    <w:rsid w:val="5DDC6E97"/>
    <w:rsid w:val="60161979"/>
    <w:rsid w:val="607225C9"/>
    <w:rsid w:val="608B6872"/>
    <w:rsid w:val="61FA2450"/>
    <w:rsid w:val="624F31B6"/>
    <w:rsid w:val="626F460D"/>
    <w:rsid w:val="62737F03"/>
    <w:rsid w:val="62BD7680"/>
    <w:rsid w:val="63B80222"/>
    <w:rsid w:val="64BB3B0A"/>
    <w:rsid w:val="65173864"/>
    <w:rsid w:val="67074C35"/>
    <w:rsid w:val="67B86FD5"/>
    <w:rsid w:val="68CC736B"/>
    <w:rsid w:val="69A05A18"/>
    <w:rsid w:val="6AB4227F"/>
    <w:rsid w:val="6B3B6611"/>
    <w:rsid w:val="6B5251F4"/>
    <w:rsid w:val="6B6C7258"/>
    <w:rsid w:val="6BA7011A"/>
    <w:rsid w:val="6CCD7453"/>
    <w:rsid w:val="6DFB560B"/>
    <w:rsid w:val="6EC21F2B"/>
    <w:rsid w:val="6ED41CE9"/>
    <w:rsid w:val="6F17421F"/>
    <w:rsid w:val="6F7B3153"/>
    <w:rsid w:val="6F975B11"/>
    <w:rsid w:val="712A185C"/>
    <w:rsid w:val="71E23925"/>
    <w:rsid w:val="71E561F0"/>
    <w:rsid w:val="73587C07"/>
    <w:rsid w:val="737F1A45"/>
    <w:rsid w:val="73974732"/>
    <w:rsid w:val="74A64C8E"/>
    <w:rsid w:val="75EA64FF"/>
    <w:rsid w:val="76E353C5"/>
    <w:rsid w:val="77C15694"/>
    <w:rsid w:val="78323E75"/>
    <w:rsid w:val="78F84331"/>
    <w:rsid w:val="79FB6B36"/>
    <w:rsid w:val="7A61311F"/>
    <w:rsid w:val="7A664B08"/>
    <w:rsid w:val="7AA2317C"/>
    <w:rsid w:val="7AEF6BF7"/>
    <w:rsid w:val="7B965710"/>
    <w:rsid w:val="7CAD3559"/>
    <w:rsid w:val="7CE14E70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670</Words>
  <Characters>855</Characters>
  <Lines>7</Lines>
  <Paragraphs>2</Paragraphs>
  <TotalTime>0</TotalTime>
  <ScaleCrop>false</ScaleCrop>
  <LinksUpToDate>false</LinksUpToDate>
  <CharactersWithSpaces>855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2026-07-08T06:04:33Z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0776F02D8CD64956BA9EF4E9E1E558D2_12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